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AAE" w:rsidRDefault="00547AAE" w:rsidP="00547AAE">
      <w:pPr>
        <w:pStyle w:val="Ttulo1"/>
        <w:tabs>
          <w:tab w:val="left" w:pos="4260"/>
        </w:tabs>
        <w:spacing w:before="91"/>
      </w:pPr>
    </w:p>
    <w:p w:rsidR="005F4195" w:rsidRDefault="005F4195" w:rsidP="00C30723">
      <w:pPr>
        <w:pStyle w:val="Ttulo1"/>
        <w:tabs>
          <w:tab w:val="left" w:pos="4260"/>
        </w:tabs>
        <w:spacing w:before="91"/>
      </w:pPr>
    </w:p>
    <w:p w:rsidR="006B5129" w:rsidRDefault="006B5129" w:rsidP="00C30723">
      <w:pPr>
        <w:pStyle w:val="Ttulo1"/>
        <w:tabs>
          <w:tab w:val="left" w:pos="4260"/>
        </w:tabs>
        <w:spacing w:before="91"/>
        <w:rPr>
          <w:sz w:val="24"/>
          <w:szCs w:val="24"/>
        </w:rPr>
      </w:pPr>
    </w:p>
    <w:p w:rsidR="006B5129" w:rsidRDefault="006B5129" w:rsidP="00C30723">
      <w:pPr>
        <w:pStyle w:val="Ttulo1"/>
        <w:tabs>
          <w:tab w:val="left" w:pos="4260"/>
        </w:tabs>
        <w:spacing w:before="91"/>
        <w:rPr>
          <w:sz w:val="24"/>
          <w:szCs w:val="24"/>
        </w:rPr>
      </w:pPr>
    </w:p>
    <w:p w:rsidR="00CD2F99" w:rsidRDefault="00547AAE" w:rsidP="00CD2F99">
      <w:pPr>
        <w:pStyle w:val="Ttulo1"/>
        <w:tabs>
          <w:tab w:val="left" w:pos="4260"/>
        </w:tabs>
        <w:spacing w:before="91"/>
        <w:jc w:val="center"/>
        <w:rPr>
          <w:sz w:val="24"/>
          <w:szCs w:val="24"/>
        </w:rPr>
      </w:pPr>
      <w:r w:rsidRPr="006B5129">
        <w:rPr>
          <w:sz w:val="24"/>
          <w:szCs w:val="24"/>
        </w:rPr>
        <w:t>PROYECTO DE</w:t>
      </w:r>
      <w:r w:rsidRPr="006B5129">
        <w:rPr>
          <w:spacing w:val="-2"/>
          <w:sz w:val="24"/>
          <w:szCs w:val="24"/>
        </w:rPr>
        <w:t xml:space="preserve"> </w:t>
      </w:r>
      <w:r w:rsidRPr="006B5129">
        <w:rPr>
          <w:sz w:val="24"/>
          <w:szCs w:val="24"/>
        </w:rPr>
        <w:t>LEY</w:t>
      </w:r>
      <w:r w:rsidRPr="006B5129">
        <w:rPr>
          <w:spacing w:val="-1"/>
          <w:sz w:val="24"/>
          <w:szCs w:val="24"/>
        </w:rPr>
        <w:t xml:space="preserve"> </w:t>
      </w:r>
      <w:r w:rsidRPr="006B5129">
        <w:rPr>
          <w:sz w:val="24"/>
          <w:szCs w:val="24"/>
        </w:rPr>
        <w:t>NO.</w:t>
      </w:r>
      <w:r w:rsidRPr="006B5129">
        <w:rPr>
          <w:sz w:val="24"/>
          <w:szCs w:val="24"/>
          <w:u w:val="thick"/>
        </w:rPr>
        <w:t xml:space="preserve"> </w:t>
      </w:r>
      <w:r w:rsidRPr="006B5129">
        <w:rPr>
          <w:sz w:val="24"/>
          <w:szCs w:val="24"/>
          <w:u w:val="thick"/>
        </w:rPr>
        <w:tab/>
      </w:r>
      <w:r w:rsidR="006B5129">
        <w:rPr>
          <w:sz w:val="24"/>
          <w:szCs w:val="24"/>
          <w:u w:val="thick"/>
        </w:rPr>
        <w:t xml:space="preserve"> </w:t>
      </w:r>
      <w:r w:rsidRPr="006B5129">
        <w:rPr>
          <w:sz w:val="24"/>
          <w:szCs w:val="24"/>
        </w:rPr>
        <w:t>DE</w:t>
      </w:r>
      <w:r w:rsidR="006B5129">
        <w:rPr>
          <w:sz w:val="24"/>
          <w:szCs w:val="24"/>
        </w:rPr>
        <w:t xml:space="preserve"> </w:t>
      </w:r>
      <w:r w:rsidRPr="006B5129">
        <w:rPr>
          <w:sz w:val="24"/>
          <w:szCs w:val="24"/>
        </w:rPr>
        <w:t xml:space="preserve">  _____ </w:t>
      </w:r>
      <w:r w:rsidR="006B5129" w:rsidRPr="006B5129">
        <w:rPr>
          <w:sz w:val="24"/>
          <w:szCs w:val="24"/>
        </w:rPr>
        <w:t>CAMARA</w:t>
      </w:r>
    </w:p>
    <w:p w:rsidR="00547AAE" w:rsidRPr="006B5129" w:rsidRDefault="00547AAE" w:rsidP="00CD2F99">
      <w:pPr>
        <w:pStyle w:val="Ttulo1"/>
        <w:tabs>
          <w:tab w:val="left" w:pos="4260"/>
        </w:tabs>
        <w:spacing w:before="91"/>
        <w:jc w:val="center"/>
        <w:rPr>
          <w:sz w:val="24"/>
          <w:szCs w:val="24"/>
        </w:rPr>
      </w:pPr>
      <w:r w:rsidRPr="006B5129">
        <w:rPr>
          <w:sz w:val="24"/>
          <w:szCs w:val="24"/>
        </w:rPr>
        <w:t>“</w:t>
      </w:r>
      <w:r w:rsidR="006B5129" w:rsidRPr="006B5129">
        <w:rPr>
          <w:sz w:val="24"/>
          <w:szCs w:val="24"/>
        </w:rPr>
        <w:t>Por el</w:t>
      </w:r>
      <w:r w:rsidRPr="006B5129">
        <w:rPr>
          <w:sz w:val="24"/>
          <w:szCs w:val="24"/>
        </w:rPr>
        <w:t xml:space="preserve"> cual</w:t>
      </w:r>
      <w:r w:rsidRPr="006B5129">
        <w:rPr>
          <w:spacing w:val="-10"/>
          <w:sz w:val="24"/>
          <w:szCs w:val="24"/>
        </w:rPr>
        <w:t xml:space="preserve"> </w:t>
      </w:r>
      <w:r w:rsidRPr="006B5129">
        <w:rPr>
          <w:sz w:val="24"/>
          <w:szCs w:val="24"/>
        </w:rPr>
        <w:t>se</w:t>
      </w:r>
      <w:r w:rsidR="00C30723" w:rsidRPr="006B5129">
        <w:rPr>
          <w:sz w:val="24"/>
          <w:szCs w:val="24"/>
        </w:rPr>
        <w:t xml:space="preserve"> </w:t>
      </w:r>
      <w:r w:rsidRPr="006B5129">
        <w:rPr>
          <w:sz w:val="24"/>
          <w:szCs w:val="24"/>
        </w:rPr>
        <w:t>modifica el porcentaje de participación para la conformación de las áreas metropolitanas”</w:t>
      </w:r>
    </w:p>
    <w:p w:rsidR="00547AAE" w:rsidRPr="006B5129" w:rsidRDefault="00547AAE" w:rsidP="00C30723">
      <w:pPr>
        <w:pStyle w:val="Textoindependiente"/>
        <w:spacing w:line="276" w:lineRule="auto"/>
        <w:rPr>
          <w:b/>
          <w:sz w:val="24"/>
          <w:szCs w:val="24"/>
        </w:rPr>
      </w:pPr>
    </w:p>
    <w:p w:rsidR="00C30723" w:rsidRPr="006B5129" w:rsidRDefault="00C30723" w:rsidP="00C30723">
      <w:pPr>
        <w:pStyle w:val="Textoindependiente"/>
        <w:spacing w:line="276" w:lineRule="auto"/>
        <w:rPr>
          <w:b/>
          <w:sz w:val="24"/>
          <w:szCs w:val="24"/>
        </w:rPr>
      </w:pPr>
    </w:p>
    <w:p w:rsidR="00C30723" w:rsidRPr="006B5129" w:rsidRDefault="00547AAE" w:rsidP="00C30723">
      <w:pPr>
        <w:spacing w:before="1" w:line="276" w:lineRule="auto"/>
        <w:ind w:left="2452" w:right="2465"/>
        <w:jc w:val="center"/>
        <w:rPr>
          <w:rFonts w:ascii="Arial" w:hAnsi="Arial" w:cs="Arial"/>
          <w:b/>
          <w:sz w:val="24"/>
          <w:szCs w:val="24"/>
        </w:rPr>
      </w:pPr>
      <w:r w:rsidRPr="006B5129">
        <w:rPr>
          <w:rFonts w:ascii="Arial" w:hAnsi="Arial" w:cs="Arial"/>
          <w:b/>
          <w:sz w:val="24"/>
          <w:szCs w:val="24"/>
        </w:rPr>
        <w:t>EL CONGRESO DE COLOMBIA</w:t>
      </w:r>
    </w:p>
    <w:p w:rsidR="00547AAE" w:rsidRPr="006B5129" w:rsidRDefault="00547AAE" w:rsidP="00C30723">
      <w:pPr>
        <w:spacing w:before="1" w:line="276" w:lineRule="auto"/>
        <w:ind w:left="2452" w:right="2465"/>
        <w:jc w:val="center"/>
        <w:rPr>
          <w:rFonts w:ascii="Arial" w:hAnsi="Arial" w:cs="Arial"/>
          <w:b/>
          <w:sz w:val="24"/>
          <w:szCs w:val="24"/>
        </w:rPr>
      </w:pPr>
      <w:r w:rsidRPr="006B5129">
        <w:rPr>
          <w:rFonts w:ascii="Arial" w:hAnsi="Arial" w:cs="Arial"/>
          <w:b/>
          <w:sz w:val="24"/>
          <w:szCs w:val="24"/>
        </w:rPr>
        <w:t xml:space="preserve"> DECRETA:</w:t>
      </w:r>
    </w:p>
    <w:p w:rsidR="00547AAE" w:rsidRPr="006B5129" w:rsidRDefault="00547AAE" w:rsidP="009E5F27">
      <w:pPr>
        <w:spacing w:line="276" w:lineRule="auto"/>
        <w:rPr>
          <w:rFonts w:ascii="Arial" w:hAnsi="Arial" w:cs="Arial"/>
          <w:sz w:val="24"/>
          <w:szCs w:val="24"/>
        </w:rPr>
      </w:pPr>
      <w:r w:rsidRPr="006B5129">
        <w:rPr>
          <w:rFonts w:ascii="Arial" w:hAnsi="Arial" w:cs="Arial"/>
          <w:b/>
          <w:sz w:val="24"/>
          <w:szCs w:val="24"/>
        </w:rPr>
        <w:t xml:space="preserve">ARTÍCULO .1. </w:t>
      </w:r>
      <w:r w:rsidRPr="006B5129">
        <w:rPr>
          <w:rFonts w:ascii="Arial" w:hAnsi="Arial" w:cs="Arial"/>
          <w:b/>
          <w:i/>
          <w:sz w:val="24"/>
          <w:szCs w:val="24"/>
        </w:rPr>
        <w:t xml:space="preserve">Objeto. </w:t>
      </w:r>
      <w:r w:rsidRPr="006B5129">
        <w:rPr>
          <w:rFonts w:ascii="Arial" w:hAnsi="Arial" w:cs="Arial"/>
          <w:sz w:val="24"/>
          <w:szCs w:val="24"/>
        </w:rPr>
        <w:t>La presente ley tiene por objeto modificar el</w:t>
      </w:r>
      <w:r w:rsidR="00C30723" w:rsidRPr="006B5129">
        <w:rPr>
          <w:rFonts w:ascii="Arial" w:hAnsi="Arial" w:cs="Arial"/>
          <w:sz w:val="24"/>
          <w:szCs w:val="24"/>
        </w:rPr>
        <w:t xml:space="preserve"> </w:t>
      </w:r>
      <w:r w:rsidRPr="006B5129">
        <w:rPr>
          <w:rFonts w:ascii="Arial" w:hAnsi="Arial" w:cs="Arial"/>
          <w:sz w:val="24"/>
          <w:szCs w:val="24"/>
        </w:rPr>
        <w:t>porcentaje</w:t>
      </w:r>
      <w:r w:rsidRPr="006B5129">
        <w:rPr>
          <w:rFonts w:ascii="Arial" w:hAnsi="Arial" w:cs="Arial"/>
          <w:sz w:val="24"/>
          <w:szCs w:val="24"/>
        </w:rPr>
        <w:tab/>
        <w:t>de</w:t>
      </w:r>
      <w:r w:rsidR="00C30723" w:rsidRPr="006B5129">
        <w:rPr>
          <w:rFonts w:ascii="Arial" w:hAnsi="Arial" w:cs="Arial"/>
          <w:sz w:val="24"/>
          <w:szCs w:val="24"/>
        </w:rPr>
        <w:t xml:space="preserve"> </w:t>
      </w:r>
      <w:r w:rsidRPr="006B5129">
        <w:rPr>
          <w:rFonts w:ascii="Arial" w:hAnsi="Arial" w:cs="Arial"/>
          <w:sz w:val="24"/>
          <w:szCs w:val="24"/>
        </w:rPr>
        <w:t>participación</w:t>
      </w:r>
      <w:r w:rsidR="00C30723" w:rsidRPr="006B5129">
        <w:rPr>
          <w:rFonts w:ascii="Arial" w:hAnsi="Arial" w:cs="Arial"/>
          <w:sz w:val="24"/>
          <w:szCs w:val="24"/>
        </w:rPr>
        <w:t xml:space="preserve"> </w:t>
      </w:r>
      <w:r w:rsidRPr="006B5129">
        <w:rPr>
          <w:rFonts w:ascii="Arial" w:hAnsi="Arial" w:cs="Arial"/>
          <w:sz w:val="24"/>
          <w:szCs w:val="24"/>
        </w:rPr>
        <w:t>para</w:t>
      </w:r>
      <w:r w:rsidR="00C30723" w:rsidRPr="006B5129">
        <w:rPr>
          <w:rFonts w:ascii="Arial" w:hAnsi="Arial" w:cs="Arial"/>
          <w:sz w:val="24"/>
          <w:szCs w:val="24"/>
        </w:rPr>
        <w:t xml:space="preserve"> </w:t>
      </w:r>
      <w:r w:rsidRPr="006B5129">
        <w:rPr>
          <w:rFonts w:ascii="Arial" w:hAnsi="Arial" w:cs="Arial"/>
          <w:sz w:val="24"/>
          <w:szCs w:val="24"/>
        </w:rPr>
        <w:t>la</w:t>
      </w:r>
      <w:r w:rsidR="00C30723" w:rsidRPr="006B5129">
        <w:rPr>
          <w:rFonts w:ascii="Arial" w:hAnsi="Arial" w:cs="Arial"/>
          <w:sz w:val="24"/>
          <w:szCs w:val="24"/>
        </w:rPr>
        <w:t xml:space="preserve"> </w:t>
      </w:r>
      <w:r w:rsidRPr="006B5129">
        <w:rPr>
          <w:rFonts w:ascii="Arial" w:hAnsi="Arial" w:cs="Arial"/>
          <w:sz w:val="24"/>
          <w:szCs w:val="24"/>
        </w:rPr>
        <w:t>conformación</w:t>
      </w:r>
      <w:r w:rsidR="00C30723" w:rsidRPr="006B5129">
        <w:rPr>
          <w:rFonts w:ascii="Arial" w:hAnsi="Arial" w:cs="Arial"/>
          <w:sz w:val="24"/>
          <w:szCs w:val="24"/>
        </w:rPr>
        <w:t xml:space="preserve"> </w:t>
      </w:r>
      <w:r w:rsidRPr="006B5129">
        <w:rPr>
          <w:rFonts w:ascii="Arial" w:hAnsi="Arial" w:cs="Arial"/>
          <w:sz w:val="24"/>
          <w:szCs w:val="24"/>
        </w:rPr>
        <w:t>de</w:t>
      </w:r>
      <w:r w:rsidR="00C30723" w:rsidRPr="006B5129">
        <w:rPr>
          <w:rFonts w:ascii="Arial" w:hAnsi="Arial" w:cs="Arial"/>
          <w:sz w:val="24"/>
          <w:szCs w:val="24"/>
        </w:rPr>
        <w:t xml:space="preserve"> </w:t>
      </w:r>
      <w:r w:rsidRPr="006B5129">
        <w:rPr>
          <w:rFonts w:ascii="Arial" w:hAnsi="Arial" w:cs="Arial"/>
          <w:sz w:val="24"/>
          <w:szCs w:val="24"/>
        </w:rPr>
        <w:t>las</w:t>
      </w:r>
      <w:r w:rsidR="00C30723" w:rsidRPr="006B5129">
        <w:rPr>
          <w:rFonts w:ascii="Arial" w:hAnsi="Arial" w:cs="Arial"/>
          <w:sz w:val="24"/>
          <w:szCs w:val="24"/>
        </w:rPr>
        <w:t xml:space="preserve"> </w:t>
      </w:r>
      <w:r w:rsidRPr="006B5129">
        <w:rPr>
          <w:rFonts w:ascii="Arial" w:hAnsi="Arial" w:cs="Arial"/>
          <w:spacing w:val="-5"/>
          <w:sz w:val="24"/>
          <w:szCs w:val="24"/>
        </w:rPr>
        <w:t xml:space="preserve">áreas </w:t>
      </w:r>
      <w:r w:rsidRPr="006B5129">
        <w:rPr>
          <w:rFonts w:ascii="Arial" w:hAnsi="Arial" w:cs="Arial"/>
          <w:sz w:val="24"/>
          <w:szCs w:val="24"/>
        </w:rPr>
        <w:t>metropolitanas.</w:t>
      </w:r>
    </w:p>
    <w:p w:rsidR="00547AAE" w:rsidRPr="006B5129" w:rsidRDefault="00547AAE" w:rsidP="00C30723">
      <w:pPr>
        <w:pStyle w:val="Textoindependiente"/>
        <w:spacing w:before="2" w:line="276" w:lineRule="auto"/>
        <w:jc w:val="both"/>
        <w:rPr>
          <w:sz w:val="24"/>
          <w:szCs w:val="24"/>
        </w:rPr>
      </w:pPr>
    </w:p>
    <w:p w:rsidR="00547AAE" w:rsidRPr="006B5129" w:rsidRDefault="00547AAE" w:rsidP="00C30723">
      <w:pPr>
        <w:spacing w:line="276" w:lineRule="auto"/>
        <w:jc w:val="both"/>
        <w:textAlignment w:val="top"/>
        <w:rPr>
          <w:rFonts w:ascii="Arial" w:eastAsia="Times New Roman" w:hAnsi="Arial" w:cs="Arial"/>
          <w:iCs/>
          <w:color w:val="000000" w:themeColor="text1"/>
          <w:sz w:val="24"/>
          <w:szCs w:val="24"/>
          <w:lang w:eastAsia="es-CO"/>
        </w:rPr>
      </w:pPr>
      <w:r w:rsidRPr="006B5129">
        <w:rPr>
          <w:rFonts w:ascii="Arial" w:hAnsi="Arial" w:cs="Arial"/>
          <w:b/>
          <w:sz w:val="24"/>
          <w:szCs w:val="24"/>
        </w:rPr>
        <w:t xml:space="preserve">ARTÍCULO .2. </w:t>
      </w:r>
      <w:r w:rsidRPr="006B5129">
        <w:rPr>
          <w:rFonts w:ascii="Arial" w:eastAsia="Times New Roman" w:hAnsi="Arial" w:cs="Arial"/>
          <w:iCs/>
          <w:color w:val="000000" w:themeColor="text1"/>
          <w:sz w:val="24"/>
          <w:szCs w:val="24"/>
          <w:lang w:eastAsia="es-CO"/>
        </w:rPr>
        <w:t xml:space="preserve">Modifíquese </w:t>
      </w:r>
      <w:r w:rsidRPr="006B5129">
        <w:rPr>
          <w:rFonts w:ascii="Arial" w:eastAsia="Times New Roman" w:hAnsi="Arial" w:cs="Arial"/>
          <w:i/>
          <w:iCs/>
          <w:color w:val="000000" w:themeColor="text1"/>
          <w:sz w:val="24"/>
          <w:szCs w:val="24"/>
          <w:lang w:eastAsia="es-CO"/>
        </w:rPr>
        <w:t>el literal e del artículo 8 de la Ley 1625</w:t>
      </w:r>
      <w:r w:rsidRPr="006B5129">
        <w:rPr>
          <w:rFonts w:ascii="Arial" w:eastAsia="Times New Roman" w:hAnsi="Arial" w:cs="Arial"/>
          <w:iCs/>
          <w:color w:val="000000" w:themeColor="text1"/>
          <w:sz w:val="24"/>
          <w:szCs w:val="24"/>
          <w:lang w:eastAsia="es-CO"/>
        </w:rPr>
        <w:t xml:space="preserve"> de 2013, reduciendo el porcentaje de participación a un cinco por ciento (5 %) para aprobar la conformación de las áreas metropolitanas, así, </w:t>
      </w:r>
    </w:p>
    <w:p w:rsidR="00547AAE" w:rsidRPr="006B5129" w:rsidRDefault="00547AAE" w:rsidP="00C30723">
      <w:pPr>
        <w:spacing w:line="276" w:lineRule="auto"/>
        <w:jc w:val="both"/>
        <w:textAlignment w:val="top"/>
        <w:rPr>
          <w:rFonts w:ascii="Arial" w:eastAsia="Times New Roman" w:hAnsi="Arial" w:cs="Arial"/>
          <w:iCs/>
          <w:color w:val="000000" w:themeColor="text1"/>
          <w:sz w:val="24"/>
          <w:szCs w:val="24"/>
          <w:lang w:eastAsia="es-CO"/>
        </w:rPr>
      </w:pPr>
    </w:p>
    <w:p w:rsidR="00547AAE" w:rsidRPr="006B5129" w:rsidRDefault="00547AAE" w:rsidP="00C30723">
      <w:pPr>
        <w:pStyle w:val="Prrafodelista"/>
        <w:spacing w:line="276" w:lineRule="auto"/>
        <w:jc w:val="both"/>
        <w:textAlignment w:val="top"/>
        <w:rPr>
          <w:rFonts w:ascii="Arial" w:eastAsia="Times New Roman" w:hAnsi="Arial" w:cs="Arial"/>
          <w:i/>
          <w:iCs/>
          <w:color w:val="000000" w:themeColor="text1"/>
        </w:rPr>
      </w:pPr>
      <w:r w:rsidRPr="006B5129">
        <w:rPr>
          <w:rFonts w:ascii="Arial" w:eastAsia="Times New Roman" w:hAnsi="Arial" w:cs="Arial"/>
          <w:i/>
          <w:iCs/>
          <w:color w:val="000000" w:themeColor="text1"/>
        </w:rPr>
        <w:t>e) Se entenderá aprobado el proyecto sometido a consulta popular cuando la mayoría de votos de cada uno de los municipios interesados sea favorable a la propuesta y la participación ciudadana haya alcanzado al menos el cinco (5) por ciento de la población registrada en el respectivo censo electoral de cada uno de los municipios intervinientes.</w:t>
      </w:r>
    </w:p>
    <w:p w:rsidR="00547AAE" w:rsidRPr="006B5129" w:rsidRDefault="00547AAE" w:rsidP="00C30723">
      <w:pPr>
        <w:shd w:val="clear" w:color="auto" w:fill="FFFFFF"/>
        <w:spacing w:line="276" w:lineRule="auto"/>
        <w:jc w:val="both"/>
        <w:rPr>
          <w:rFonts w:ascii="Arial" w:eastAsia="Times New Roman" w:hAnsi="Arial" w:cs="Arial"/>
          <w:iCs/>
          <w:color w:val="000000" w:themeColor="text1"/>
          <w:sz w:val="24"/>
          <w:szCs w:val="24"/>
          <w:lang w:eastAsia="es-CO"/>
        </w:rPr>
      </w:pPr>
    </w:p>
    <w:p w:rsidR="00547AAE" w:rsidRPr="006B5129" w:rsidRDefault="00547AAE" w:rsidP="00C30723">
      <w:pPr>
        <w:pStyle w:val="Textoindependiente"/>
        <w:spacing w:before="169" w:line="276" w:lineRule="auto"/>
        <w:ind w:left="102"/>
        <w:jc w:val="both"/>
        <w:rPr>
          <w:b/>
          <w:sz w:val="24"/>
          <w:szCs w:val="24"/>
        </w:rPr>
      </w:pPr>
      <w:r w:rsidRPr="006B5129">
        <w:rPr>
          <w:b/>
          <w:sz w:val="24"/>
          <w:szCs w:val="24"/>
        </w:rPr>
        <w:t xml:space="preserve">ARTÍCULO .3. Vigencia. </w:t>
      </w:r>
      <w:r w:rsidRPr="006B5129">
        <w:rPr>
          <w:sz w:val="24"/>
          <w:szCs w:val="24"/>
        </w:rPr>
        <w:t>La presente ley rige a partir de su promulgación y deroga las disposiciones que le sean contrarias</w:t>
      </w:r>
      <w:r w:rsidRPr="006B5129">
        <w:rPr>
          <w:b/>
          <w:sz w:val="24"/>
          <w:szCs w:val="24"/>
        </w:rPr>
        <w:t>.</w:t>
      </w:r>
    </w:p>
    <w:p w:rsidR="00547AAE" w:rsidRPr="006B5129" w:rsidRDefault="00547AAE" w:rsidP="00C30723">
      <w:pPr>
        <w:pStyle w:val="Textoindependiente"/>
        <w:spacing w:before="3" w:line="276" w:lineRule="auto"/>
        <w:rPr>
          <w:b/>
          <w:sz w:val="24"/>
          <w:szCs w:val="24"/>
        </w:rPr>
      </w:pPr>
    </w:p>
    <w:p w:rsidR="00547AAE" w:rsidRPr="006B5129" w:rsidRDefault="00547AAE" w:rsidP="002F0F35">
      <w:pPr>
        <w:pStyle w:val="Textoindependiente"/>
        <w:spacing w:line="276" w:lineRule="auto"/>
        <w:rPr>
          <w:sz w:val="24"/>
          <w:szCs w:val="24"/>
        </w:rPr>
      </w:pPr>
      <w:r w:rsidRPr="006B5129">
        <w:rPr>
          <w:sz w:val="24"/>
          <w:szCs w:val="24"/>
        </w:rPr>
        <w:t>Cordialmente,</w:t>
      </w:r>
    </w:p>
    <w:p w:rsidR="002F0F35" w:rsidRPr="006B5129" w:rsidRDefault="002F0F35" w:rsidP="00C30723">
      <w:pPr>
        <w:pStyle w:val="Textoindependiente"/>
        <w:spacing w:line="276" w:lineRule="auto"/>
        <w:ind w:left="102"/>
        <w:rPr>
          <w:sz w:val="24"/>
          <w:szCs w:val="24"/>
        </w:rPr>
      </w:pPr>
    </w:p>
    <w:p w:rsidR="002F0F35" w:rsidRPr="006B5129" w:rsidRDefault="002F0F35" w:rsidP="00C30723">
      <w:pPr>
        <w:pStyle w:val="Textoindependiente"/>
        <w:spacing w:line="276" w:lineRule="auto"/>
        <w:ind w:left="102"/>
        <w:rPr>
          <w:sz w:val="24"/>
          <w:szCs w:val="24"/>
        </w:rPr>
      </w:pPr>
    </w:p>
    <w:p w:rsidR="00547AAE" w:rsidRPr="006B5129" w:rsidRDefault="002F0F35" w:rsidP="00C30723">
      <w:pPr>
        <w:pStyle w:val="Textoindependiente"/>
        <w:spacing w:line="276" w:lineRule="auto"/>
        <w:rPr>
          <w:b/>
          <w:sz w:val="24"/>
          <w:szCs w:val="24"/>
        </w:rPr>
      </w:pPr>
      <w:r w:rsidRPr="006B5129">
        <w:rPr>
          <w:b/>
          <w:sz w:val="24"/>
          <w:szCs w:val="24"/>
        </w:rPr>
        <w:t>OSCAR DARIO PEREZ PINEDA                     PAOLA HOLGUIN MORENO</w:t>
      </w:r>
    </w:p>
    <w:p w:rsidR="002F0F35" w:rsidRPr="006B5129" w:rsidRDefault="002F0F35" w:rsidP="00C30723">
      <w:pPr>
        <w:pStyle w:val="Textoindependiente"/>
        <w:spacing w:line="276" w:lineRule="auto"/>
        <w:rPr>
          <w:b/>
          <w:sz w:val="24"/>
          <w:szCs w:val="24"/>
        </w:rPr>
      </w:pPr>
      <w:r w:rsidRPr="006B5129">
        <w:rPr>
          <w:b/>
          <w:sz w:val="24"/>
          <w:szCs w:val="24"/>
        </w:rPr>
        <w:t>Representante a la Cámara                              Senadora de la República</w:t>
      </w:r>
    </w:p>
    <w:p w:rsidR="002F0F35" w:rsidRPr="006B5129" w:rsidRDefault="002F0F35" w:rsidP="00C30723">
      <w:pPr>
        <w:pStyle w:val="Textoindependiente"/>
        <w:spacing w:line="276" w:lineRule="auto"/>
        <w:rPr>
          <w:b/>
          <w:sz w:val="24"/>
          <w:szCs w:val="24"/>
        </w:rPr>
      </w:pPr>
    </w:p>
    <w:p w:rsidR="002F0F35" w:rsidRPr="006B5129" w:rsidRDefault="002F0F35" w:rsidP="00C30723">
      <w:pPr>
        <w:pStyle w:val="Textoindependiente"/>
        <w:spacing w:line="276" w:lineRule="auto"/>
        <w:rPr>
          <w:b/>
          <w:sz w:val="24"/>
          <w:szCs w:val="24"/>
        </w:rPr>
      </w:pPr>
    </w:p>
    <w:p w:rsidR="002F0F35" w:rsidRPr="006B5129" w:rsidRDefault="002F0F35" w:rsidP="00C30723">
      <w:pPr>
        <w:pStyle w:val="Textoindependiente"/>
        <w:spacing w:line="276" w:lineRule="auto"/>
        <w:rPr>
          <w:b/>
          <w:sz w:val="24"/>
          <w:szCs w:val="24"/>
        </w:rPr>
      </w:pPr>
    </w:p>
    <w:p w:rsidR="002F0F35" w:rsidRPr="006B5129" w:rsidRDefault="002F0F35" w:rsidP="00C30723">
      <w:pPr>
        <w:pStyle w:val="Textoindependiente"/>
        <w:spacing w:line="276" w:lineRule="auto"/>
        <w:rPr>
          <w:b/>
          <w:sz w:val="24"/>
          <w:szCs w:val="24"/>
        </w:rPr>
      </w:pPr>
    </w:p>
    <w:p w:rsidR="002F0F35" w:rsidRPr="006B5129" w:rsidRDefault="002F0F35" w:rsidP="00C30723">
      <w:pPr>
        <w:pStyle w:val="Textoindependiente"/>
        <w:spacing w:line="276" w:lineRule="auto"/>
        <w:rPr>
          <w:b/>
          <w:sz w:val="24"/>
          <w:szCs w:val="24"/>
        </w:rPr>
      </w:pPr>
      <w:r w:rsidRPr="006B5129">
        <w:rPr>
          <w:b/>
          <w:sz w:val="24"/>
          <w:szCs w:val="24"/>
        </w:rPr>
        <w:t>ESTEBAN QUINTERO CARDONA</w:t>
      </w:r>
    </w:p>
    <w:p w:rsidR="002F0F35" w:rsidRPr="006B5129" w:rsidRDefault="002F0F35" w:rsidP="00C30723">
      <w:pPr>
        <w:pStyle w:val="Textoindependiente"/>
        <w:spacing w:line="276" w:lineRule="auto"/>
        <w:rPr>
          <w:b/>
          <w:sz w:val="24"/>
          <w:szCs w:val="24"/>
        </w:rPr>
      </w:pPr>
      <w:r w:rsidRPr="006B5129">
        <w:rPr>
          <w:b/>
          <w:sz w:val="24"/>
          <w:szCs w:val="24"/>
        </w:rPr>
        <w:t>Representante a la Cámara</w:t>
      </w:r>
    </w:p>
    <w:p w:rsidR="005F4195" w:rsidRPr="006B5129" w:rsidRDefault="005F4195" w:rsidP="005F4195">
      <w:pPr>
        <w:pStyle w:val="Ttulo1"/>
        <w:tabs>
          <w:tab w:val="left" w:pos="4260"/>
        </w:tabs>
        <w:spacing w:before="91"/>
        <w:rPr>
          <w:sz w:val="24"/>
          <w:szCs w:val="24"/>
        </w:rPr>
      </w:pPr>
    </w:p>
    <w:p w:rsidR="005F4195" w:rsidRPr="006B5129" w:rsidRDefault="005F4195" w:rsidP="005F4195">
      <w:pPr>
        <w:pStyle w:val="Ttulo1"/>
        <w:tabs>
          <w:tab w:val="left" w:pos="4260"/>
        </w:tabs>
        <w:spacing w:before="91"/>
        <w:rPr>
          <w:sz w:val="24"/>
          <w:szCs w:val="24"/>
        </w:rPr>
      </w:pPr>
    </w:p>
    <w:p w:rsidR="005F4195" w:rsidRPr="006B5129" w:rsidRDefault="005F4195" w:rsidP="005F4195">
      <w:pPr>
        <w:pStyle w:val="Ttulo1"/>
        <w:tabs>
          <w:tab w:val="left" w:pos="4260"/>
        </w:tabs>
        <w:spacing w:before="91"/>
        <w:rPr>
          <w:sz w:val="24"/>
          <w:szCs w:val="24"/>
        </w:rPr>
      </w:pPr>
    </w:p>
    <w:p w:rsidR="006B5129" w:rsidRDefault="006B5129" w:rsidP="005F4195">
      <w:pPr>
        <w:pStyle w:val="Ttulo1"/>
        <w:tabs>
          <w:tab w:val="left" w:pos="4260"/>
        </w:tabs>
        <w:spacing w:before="91"/>
        <w:rPr>
          <w:sz w:val="24"/>
          <w:szCs w:val="24"/>
        </w:rPr>
      </w:pPr>
    </w:p>
    <w:p w:rsidR="006B5129" w:rsidRDefault="006B5129" w:rsidP="005F4195">
      <w:pPr>
        <w:pStyle w:val="Ttulo1"/>
        <w:tabs>
          <w:tab w:val="left" w:pos="4260"/>
        </w:tabs>
        <w:spacing w:before="91"/>
        <w:rPr>
          <w:sz w:val="24"/>
          <w:szCs w:val="24"/>
        </w:rPr>
      </w:pPr>
    </w:p>
    <w:p w:rsidR="006B5129" w:rsidRDefault="006B5129" w:rsidP="005F4195">
      <w:pPr>
        <w:pStyle w:val="Ttulo1"/>
        <w:tabs>
          <w:tab w:val="left" w:pos="4260"/>
        </w:tabs>
        <w:spacing w:before="91"/>
        <w:rPr>
          <w:sz w:val="24"/>
          <w:szCs w:val="24"/>
        </w:rPr>
      </w:pPr>
    </w:p>
    <w:p w:rsidR="00CD2F99" w:rsidRDefault="00CD2F99" w:rsidP="00CD2F99">
      <w:pPr>
        <w:pStyle w:val="Ttulo1"/>
        <w:tabs>
          <w:tab w:val="left" w:pos="4260"/>
        </w:tabs>
        <w:spacing w:before="91"/>
        <w:jc w:val="center"/>
        <w:rPr>
          <w:sz w:val="24"/>
          <w:szCs w:val="24"/>
        </w:rPr>
      </w:pPr>
      <w:r w:rsidRPr="006B5129">
        <w:rPr>
          <w:sz w:val="24"/>
          <w:szCs w:val="24"/>
        </w:rPr>
        <w:t>PROYECTO DE</w:t>
      </w:r>
      <w:r w:rsidRPr="006B5129">
        <w:rPr>
          <w:spacing w:val="-2"/>
          <w:sz w:val="24"/>
          <w:szCs w:val="24"/>
        </w:rPr>
        <w:t xml:space="preserve"> </w:t>
      </w:r>
      <w:r w:rsidRPr="006B5129">
        <w:rPr>
          <w:sz w:val="24"/>
          <w:szCs w:val="24"/>
        </w:rPr>
        <w:t>LEY</w:t>
      </w:r>
      <w:r w:rsidRPr="006B5129">
        <w:rPr>
          <w:spacing w:val="-1"/>
          <w:sz w:val="24"/>
          <w:szCs w:val="24"/>
        </w:rPr>
        <w:t xml:space="preserve"> </w:t>
      </w:r>
      <w:r w:rsidRPr="006B5129">
        <w:rPr>
          <w:sz w:val="24"/>
          <w:szCs w:val="24"/>
        </w:rPr>
        <w:t>NO.</w:t>
      </w:r>
      <w:bookmarkStart w:id="0" w:name="_GoBack"/>
      <w:bookmarkEnd w:id="0"/>
      <w:r w:rsidRPr="006B5129">
        <w:rPr>
          <w:sz w:val="24"/>
          <w:szCs w:val="24"/>
          <w:u w:val="thick"/>
        </w:rPr>
        <w:t xml:space="preserve"> </w:t>
      </w:r>
      <w:r w:rsidRPr="006B5129">
        <w:rPr>
          <w:sz w:val="24"/>
          <w:szCs w:val="24"/>
          <w:u w:val="thick"/>
        </w:rPr>
        <w:tab/>
      </w:r>
      <w:r>
        <w:rPr>
          <w:sz w:val="24"/>
          <w:szCs w:val="24"/>
          <w:u w:val="thick"/>
        </w:rPr>
        <w:t xml:space="preserve"> </w:t>
      </w:r>
      <w:r w:rsidRPr="006B5129">
        <w:rPr>
          <w:sz w:val="24"/>
          <w:szCs w:val="24"/>
        </w:rPr>
        <w:t>DE</w:t>
      </w:r>
      <w:r>
        <w:rPr>
          <w:sz w:val="24"/>
          <w:szCs w:val="24"/>
        </w:rPr>
        <w:t xml:space="preserve"> </w:t>
      </w:r>
      <w:r w:rsidRPr="006B5129">
        <w:rPr>
          <w:sz w:val="24"/>
          <w:szCs w:val="24"/>
        </w:rPr>
        <w:t xml:space="preserve">  _____ CAMARA</w:t>
      </w:r>
    </w:p>
    <w:p w:rsidR="00CD2F99" w:rsidRPr="006B5129" w:rsidRDefault="00CD2F99" w:rsidP="00CD2F99">
      <w:pPr>
        <w:pStyle w:val="Ttulo1"/>
        <w:tabs>
          <w:tab w:val="left" w:pos="4260"/>
        </w:tabs>
        <w:spacing w:before="91"/>
        <w:jc w:val="center"/>
        <w:rPr>
          <w:sz w:val="24"/>
          <w:szCs w:val="24"/>
        </w:rPr>
      </w:pPr>
      <w:r w:rsidRPr="006B5129">
        <w:rPr>
          <w:sz w:val="24"/>
          <w:szCs w:val="24"/>
        </w:rPr>
        <w:t xml:space="preserve"> “Por el cual</w:t>
      </w:r>
      <w:r w:rsidRPr="006B5129">
        <w:rPr>
          <w:spacing w:val="-10"/>
          <w:sz w:val="24"/>
          <w:szCs w:val="24"/>
        </w:rPr>
        <w:t xml:space="preserve"> </w:t>
      </w:r>
      <w:r w:rsidRPr="006B5129">
        <w:rPr>
          <w:sz w:val="24"/>
          <w:szCs w:val="24"/>
        </w:rPr>
        <w:t>se modifica el porcentaje de participación para la conformación de las áreas metropolitanas”</w:t>
      </w:r>
    </w:p>
    <w:p w:rsidR="00547AAE" w:rsidRPr="006B5129" w:rsidRDefault="00547AAE" w:rsidP="00CD2F99">
      <w:pPr>
        <w:pStyle w:val="Textoindependiente"/>
        <w:spacing w:line="276" w:lineRule="auto"/>
        <w:jc w:val="center"/>
        <w:rPr>
          <w:sz w:val="24"/>
          <w:szCs w:val="24"/>
        </w:rPr>
      </w:pPr>
    </w:p>
    <w:p w:rsidR="00547AAE" w:rsidRPr="006B5129" w:rsidRDefault="00547AAE" w:rsidP="00C30723">
      <w:pPr>
        <w:pStyle w:val="Textoindependiente"/>
        <w:spacing w:line="276" w:lineRule="auto"/>
        <w:rPr>
          <w:sz w:val="24"/>
          <w:szCs w:val="24"/>
        </w:rPr>
      </w:pPr>
    </w:p>
    <w:p w:rsidR="00547AAE" w:rsidRPr="006B5129" w:rsidRDefault="00547AAE" w:rsidP="00C30723">
      <w:pPr>
        <w:pStyle w:val="Textoindependiente"/>
        <w:spacing w:line="276" w:lineRule="auto"/>
        <w:rPr>
          <w:sz w:val="24"/>
          <w:szCs w:val="24"/>
        </w:rPr>
      </w:pPr>
    </w:p>
    <w:p w:rsidR="00547AAE" w:rsidRPr="006B5129" w:rsidRDefault="00C30723" w:rsidP="002F0F35">
      <w:pPr>
        <w:jc w:val="center"/>
        <w:rPr>
          <w:rFonts w:ascii="Arial" w:hAnsi="Arial" w:cs="Arial"/>
          <w:b/>
          <w:sz w:val="24"/>
          <w:szCs w:val="24"/>
        </w:rPr>
      </w:pPr>
      <w:r w:rsidRPr="006B5129">
        <w:rPr>
          <w:rFonts w:ascii="Arial" w:hAnsi="Arial" w:cs="Arial"/>
          <w:b/>
          <w:sz w:val="24"/>
          <w:szCs w:val="24"/>
        </w:rPr>
        <w:t>EXPOSICIÓN DE MOTIVOS</w:t>
      </w:r>
    </w:p>
    <w:p w:rsidR="00547AAE" w:rsidRPr="006B5129" w:rsidRDefault="00547AAE" w:rsidP="00C30723">
      <w:pPr>
        <w:pStyle w:val="Ttulo2"/>
        <w:spacing w:line="276" w:lineRule="auto"/>
        <w:ind w:left="2860"/>
        <w:rPr>
          <w:sz w:val="24"/>
          <w:szCs w:val="24"/>
        </w:rPr>
      </w:pPr>
    </w:p>
    <w:p w:rsidR="00547AAE" w:rsidRPr="006B5129" w:rsidRDefault="00547AAE" w:rsidP="00C30723">
      <w:pPr>
        <w:pStyle w:val="Sinespaciado"/>
        <w:spacing w:line="276" w:lineRule="auto"/>
        <w:jc w:val="both"/>
        <w:rPr>
          <w:rFonts w:ascii="Arial" w:hAnsi="Arial" w:cs="Arial"/>
          <w:sz w:val="24"/>
          <w:szCs w:val="24"/>
        </w:rPr>
      </w:pPr>
      <w:r w:rsidRPr="006B5129">
        <w:rPr>
          <w:rFonts w:ascii="Arial" w:hAnsi="Arial" w:cs="Arial"/>
          <w:sz w:val="24"/>
          <w:szCs w:val="24"/>
        </w:rPr>
        <w:t>La conformación de Áreas Metropolitanas encuentra su fundamento principal en la Constitución Política de Colombia de la siguiente manera:</w:t>
      </w:r>
    </w:p>
    <w:p w:rsidR="00547AAE" w:rsidRPr="006B5129" w:rsidRDefault="00547AAE" w:rsidP="00C30723">
      <w:pPr>
        <w:pStyle w:val="Sinespaciado"/>
        <w:spacing w:line="276" w:lineRule="auto"/>
        <w:jc w:val="both"/>
        <w:rPr>
          <w:rFonts w:ascii="Arial" w:hAnsi="Arial" w:cs="Arial"/>
          <w:sz w:val="24"/>
          <w:szCs w:val="24"/>
        </w:rPr>
      </w:pPr>
    </w:p>
    <w:p w:rsidR="00547AAE" w:rsidRPr="006B5129" w:rsidRDefault="00547AAE" w:rsidP="00C30723">
      <w:pPr>
        <w:spacing w:before="100" w:beforeAutospacing="1" w:after="100" w:afterAutospacing="1" w:line="276" w:lineRule="auto"/>
        <w:ind w:left="426"/>
        <w:jc w:val="both"/>
        <w:rPr>
          <w:rFonts w:ascii="Arial" w:hAnsi="Arial" w:cs="Arial"/>
          <w:i/>
          <w:sz w:val="24"/>
          <w:szCs w:val="24"/>
        </w:rPr>
      </w:pPr>
      <w:r w:rsidRPr="006B5129">
        <w:rPr>
          <w:rFonts w:ascii="Arial" w:hAnsi="Arial" w:cs="Arial"/>
          <w:b/>
          <w:bCs/>
          <w:i/>
          <w:sz w:val="24"/>
          <w:szCs w:val="24"/>
        </w:rPr>
        <w:t>ARTICULO </w:t>
      </w:r>
      <w:bookmarkStart w:id="1" w:name="BM319"/>
      <w:r w:rsidRPr="006B5129">
        <w:rPr>
          <w:rFonts w:ascii="Arial" w:hAnsi="Arial" w:cs="Arial"/>
          <w:b/>
          <w:bCs/>
          <w:i/>
          <w:sz w:val="24"/>
          <w:szCs w:val="24"/>
        </w:rPr>
        <w:t> </w:t>
      </w:r>
      <w:bookmarkEnd w:id="1"/>
      <w:r w:rsidRPr="006B5129">
        <w:rPr>
          <w:rFonts w:ascii="Arial" w:hAnsi="Arial" w:cs="Arial"/>
          <w:b/>
          <w:bCs/>
          <w:i/>
          <w:sz w:val="24"/>
          <w:szCs w:val="24"/>
        </w:rPr>
        <w:t xml:space="preserve">319. </w:t>
      </w:r>
      <w:r w:rsidRPr="006B5129">
        <w:rPr>
          <w:rFonts w:ascii="Arial" w:hAnsi="Arial" w:cs="Arial"/>
          <w:i/>
          <w:sz w:val="24"/>
          <w:szCs w:val="24"/>
        </w:rPr>
        <w:t>Cuando dos o más municipios tengan relaciones económicas, sociales y físicas, que den al conjunto características de un área metropolitana, podrán organizarse como entidad administrativa encargada de programar y coordinar el desarrollo armónico e integrado del territorio colocado bajo su autoridad; racionalizar la prestación de los servicios públicos a cargo de quienes la integran y, si es el caso, prestar en común algunos de ellos; y ejecutar obras de interés metropolitano.</w:t>
      </w:r>
    </w:p>
    <w:p w:rsidR="00547AAE" w:rsidRPr="006B5129" w:rsidRDefault="00547AAE" w:rsidP="00C30723">
      <w:pPr>
        <w:spacing w:before="100" w:beforeAutospacing="1" w:after="100" w:afterAutospacing="1" w:line="276" w:lineRule="auto"/>
        <w:ind w:left="426"/>
        <w:jc w:val="both"/>
        <w:rPr>
          <w:rFonts w:ascii="Arial" w:hAnsi="Arial" w:cs="Arial"/>
          <w:i/>
          <w:sz w:val="24"/>
          <w:szCs w:val="24"/>
        </w:rPr>
      </w:pPr>
      <w:r w:rsidRPr="006B5129">
        <w:rPr>
          <w:rFonts w:ascii="Arial" w:hAnsi="Arial" w:cs="Arial"/>
          <w:i/>
          <w:sz w:val="24"/>
          <w:szCs w:val="24"/>
        </w:rPr>
        <w:t>La ley de ordenamiento territorial adoptará para las áreas metropolitanas un régimen administrativo y fiscal de carácter especial; garantizará que en sus órganos de administración tengan adecuada participación las respectivas autoridades municipales; y señalará la forma de convocar y realizar las consultas populares que decidan la vinculación de los municipios.</w:t>
      </w:r>
    </w:p>
    <w:p w:rsidR="00547AAE" w:rsidRPr="006B5129" w:rsidRDefault="00547AAE" w:rsidP="00C30723">
      <w:pPr>
        <w:spacing w:before="100" w:beforeAutospacing="1" w:after="100" w:afterAutospacing="1" w:line="276" w:lineRule="auto"/>
        <w:ind w:left="426"/>
        <w:jc w:val="both"/>
        <w:rPr>
          <w:rFonts w:ascii="Arial" w:hAnsi="Arial" w:cs="Arial"/>
          <w:i/>
          <w:sz w:val="24"/>
          <w:szCs w:val="24"/>
        </w:rPr>
      </w:pPr>
      <w:r w:rsidRPr="006B5129">
        <w:rPr>
          <w:rFonts w:ascii="Arial" w:hAnsi="Arial" w:cs="Arial"/>
          <w:i/>
          <w:sz w:val="24"/>
          <w:szCs w:val="24"/>
        </w:rPr>
        <w:t>Cumplida la consulta popular, los respectivos alcaldes y los concejos municipales protocolizarán la conformación del área y definirán sus atribuciones, financiación y autoridades, de acuerdo con la ley.</w:t>
      </w:r>
    </w:p>
    <w:p w:rsidR="00547AAE" w:rsidRPr="006B5129" w:rsidRDefault="00547AAE" w:rsidP="00C30723">
      <w:pPr>
        <w:spacing w:before="100" w:beforeAutospacing="1" w:after="100" w:afterAutospacing="1" w:line="276" w:lineRule="auto"/>
        <w:ind w:left="426"/>
        <w:jc w:val="both"/>
        <w:rPr>
          <w:rFonts w:ascii="Arial" w:hAnsi="Arial" w:cs="Arial"/>
          <w:i/>
          <w:sz w:val="24"/>
          <w:szCs w:val="24"/>
        </w:rPr>
      </w:pPr>
      <w:r w:rsidRPr="006B5129">
        <w:rPr>
          <w:rFonts w:ascii="Arial" w:hAnsi="Arial" w:cs="Arial"/>
          <w:i/>
          <w:sz w:val="24"/>
          <w:szCs w:val="24"/>
        </w:rPr>
        <w:t>Las áreas metropolitanas podrán convertirse en Distritos conforme a la ley.</w:t>
      </w:r>
    </w:p>
    <w:p w:rsidR="00547AAE" w:rsidRPr="006B5129" w:rsidRDefault="00547AAE" w:rsidP="00C30723">
      <w:pPr>
        <w:pStyle w:val="Ttulo2"/>
        <w:spacing w:line="276" w:lineRule="auto"/>
        <w:ind w:left="426"/>
        <w:jc w:val="both"/>
        <w:rPr>
          <w:b w:val="0"/>
          <w:sz w:val="24"/>
          <w:szCs w:val="24"/>
        </w:rPr>
      </w:pPr>
      <w:r w:rsidRPr="006B5129">
        <w:rPr>
          <w:b w:val="0"/>
          <w:bCs w:val="0"/>
          <w:i/>
          <w:sz w:val="24"/>
          <w:szCs w:val="24"/>
        </w:rPr>
        <w:t xml:space="preserve">ARTICULO 325.  </w:t>
      </w:r>
      <w:r w:rsidRPr="006B5129">
        <w:rPr>
          <w:b w:val="0"/>
          <w:i/>
          <w:sz w:val="24"/>
          <w:szCs w:val="24"/>
        </w:rPr>
        <w:t>Con el fin de garantizar la ejecución de planes y programas de desarrollo integral y la prestación oportuna y eficiente de los servicios a su cargo, dentro de las condiciones que fijen la Constitución y la ley, el Distrito Capital podrá conformar un área metropolitana con los municipios circunvecinos y una región con otras entidades territoriales de carácter departamental</w:t>
      </w:r>
    </w:p>
    <w:p w:rsidR="00547AAE" w:rsidRPr="006B5129" w:rsidRDefault="00547AAE" w:rsidP="00C30723">
      <w:pPr>
        <w:pStyle w:val="Textoindependiente"/>
        <w:spacing w:line="276" w:lineRule="auto"/>
        <w:rPr>
          <w:b/>
          <w:sz w:val="24"/>
          <w:szCs w:val="24"/>
        </w:rPr>
      </w:pPr>
    </w:p>
    <w:p w:rsidR="009E5F27" w:rsidRPr="006B5129" w:rsidRDefault="009E5F27" w:rsidP="002F0F35">
      <w:pPr>
        <w:pStyle w:val="Textoindependiente"/>
        <w:spacing w:line="276" w:lineRule="auto"/>
        <w:ind w:right="122"/>
        <w:jc w:val="both"/>
        <w:rPr>
          <w:sz w:val="24"/>
          <w:szCs w:val="24"/>
        </w:rPr>
      </w:pPr>
    </w:p>
    <w:p w:rsidR="009E5F27" w:rsidRPr="006B5129" w:rsidRDefault="009E5F27" w:rsidP="002F0F35">
      <w:pPr>
        <w:pStyle w:val="Textoindependiente"/>
        <w:spacing w:line="276" w:lineRule="auto"/>
        <w:ind w:right="122"/>
        <w:jc w:val="both"/>
        <w:rPr>
          <w:sz w:val="24"/>
          <w:szCs w:val="24"/>
        </w:rPr>
      </w:pPr>
    </w:p>
    <w:p w:rsidR="006B5129" w:rsidRDefault="006B5129" w:rsidP="002F0F35">
      <w:pPr>
        <w:pStyle w:val="Textoindependiente"/>
        <w:spacing w:line="276" w:lineRule="auto"/>
        <w:ind w:right="122"/>
        <w:jc w:val="both"/>
        <w:rPr>
          <w:sz w:val="24"/>
          <w:szCs w:val="24"/>
        </w:rPr>
      </w:pPr>
    </w:p>
    <w:p w:rsidR="006B5129" w:rsidRDefault="006B5129" w:rsidP="002F0F35">
      <w:pPr>
        <w:pStyle w:val="Textoindependiente"/>
        <w:spacing w:line="276" w:lineRule="auto"/>
        <w:ind w:right="122"/>
        <w:jc w:val="both"/>
        <w:rPr>
          <w:sz w:val="24"/>
          <w:szCs w:val="24"/>
        </w:rPr>
      </w:pPr>
    </w:p>
    <w:p w:rsidR="006B5129" w:rsidRDefault="006B5129" w:rsidP="002F0F35">
      <w:pPr>
        <w:pStyle w:val="Textoindependiente"/>
        <w:spacing w:line="276" w:lineRule="auto"/>
        <w:ind w:right="122"/>
        <w:jc w:val="both"/>
        <w:rPr>
          <w:sz w:val="24"/>
          <w:szCs w:val="24"/>
        </w:rPr>
      </w:pPr>
    </w:p>
    <w:p w:rsidR="006B5129" w:rsidRDefault="006B5129" w:rsidP="002F0F35">
      <w:pPr>
        <w:pStyle w:val="Textoindependiente"/>
        <w:spacing w:line="276" w:lineRule="auto"/>
        <w:ind w:right="122"/>
        <w:jc w:val="both"/>
        <w:rPr>
          <w:sz w:val="24"/>
          <w:szCs w:val="24"/>
        </w:rPr>
      </w:pPr>
    </w:p>
    <w:p w:rsidR="00547AAE" w:rsidRPr="006B5129" w:rsidRDefault="00547AAE" w:rsidP="002F0F35">
      <w:pPr>
        <w:pStyle w:val="Textoindependiente"/>
        <w:spacing w:line="276" w:lineRule="auto"/>
        <w:ind w:right="122"/>
        <w:jc w:val="both"/>
        <w:rPr>
          <w:sz w:val="24"/>
          <w:szCs w:val="24"/>
        </w:rPr>
      </w:pPr>
      <w:r w:rsidRPr="006B5129">
        <w:rPr>
          <w:sz w:val="24"/>
          <w:szCs w:val="24"/>
        </w:rPr>
        <w:t xml:space="preserve">Las áreas metropolitanas han sido objeto de discusión legislativa en nuestro país, antes de la consolidación de la constitución de 1991, por ser uno </w:t>
      </w:r>
      <w:r w:rsidRPr="006B5129">
        <w:rPr>
          <w:spacing w:val="-7"/>
          <w:sz w:val="24"/>
          <w:szCs w:val="24"/>
        </w:rPr>
        <w:t xml:space="preserve">de </w:t>
      </w:r>
      <w:r w:rsidRPr="006B5129">
        <w:rPr>
          <w:sz w:val="24"/>
          <w:szCs w:val="24"/>
        </w:rPr>
        <w:t>los mecanismos ideados para organizar el crecimiento de las ciudades, la conurbación y la prestación de servicios en territorios que comparten circunstancias culturales, sociales, económicas, territoriales y de desarrollo comunes.</w:t>
      </w:r>
    </w:p>
    <w:p w:rsidR="005F4195" w:rsidRPr="006B5129" w:rsidRDefault="005F4195" w:rsidP="005F4195">
      <w:pPr>
        <w:pStyle w:val="Textoindependiente"/>
        <w:spacing w:line="276" w:lineRule="auto"/>
        <w:ind w:right="117"/>
        <w:jc w:val="both"/>
        <w:rPr>
          <w:sz w:val="24"/>
          <w:szCs w:val="24"/>
        </w:rPr>
      </w:pPr>
    </w:p>
    <w:p w:rsidR="00547AAE" w:rsidRPr="006B5129" w:rsidRDefault="00547AAE" w:rsidP="005F4195">
      <w:pPr>
        <w:pStyle w:val="Textoindependiente"/>
        <w:spacing w:line="276" w:lineRule="auto"/>
        <w:ind w:right="117"/>
        <w:jc w:val="both"/>
        <w:rPr>
          <w:sz w:val="24"/>
          <w:szCs w:val="24"/>
        </w:rPr>
      </w:pPr>
      <w:r w:rsidRPr="006B5129">
        <w:rPr>
          <w:sz w:val="24"/>
          <w:szCs w:val="24"/>
        </w:rPr>
        <w:t>Como se observó en las iniciativas legislativas que la han desarrollado en el tiempo, leyes 128 de 1994 y 1625 de 2013, las áreas metropolitanas empezaron su desarrollo mediante acto legislativo de 1968.</w:t>
      </w:r>
    </w:p>
    <w:p w:rsidR="00547AAE" w:rsidRPr="006B5129" w:rsidRDefault="00547AAE" w:rsidP="00C30723">
      <w:pPr>
        <w:pStyle w:val="Textoindependiente"/>
        <w:spacing w:before="1" w:line="276" w:lineRule="auto"/>
        <w:rPr>
          <w:sz w:val="24"/>
          <w:szCs w:val="24"/>
        </w:rPr>
      </w:pPr>
    </w:p>
    <w:p w:rsidR="00547AAE" w:rsidRPr="006B5129" w:rsidRDefault="00547AAE" w:rsidP="00C30723">
      <w:pPr>
        <w:pStyle w:val="Textoindependiente"/>
        <w:spacing w:line="276" w:lineRule="auto"/>
        <w:ind w:left="102" w:right="115"/>
        <w:jc w:val="both"/>
        <w:rPr>
          <w:sz w:val="24"/>
          <w:szCs w:val="24"/>
        </w:rPr>
      </w:pPr>
      <w:r w:rsidRPr="006B5129">
        <w:rPr>
          <w:sz w:val="24"/>
          <w:szCs w:val="24"/>
        </w:rPr>
        <w:t>Actualmente nuestro país cuenta con 6 áreas metropolitanas conformadas: Barranquilla, Bucaramanga, Cúcuta, Centro Occidente, Valle de Aburrá y Valledupar.</w:t>
      </w:r>
    </w:p>
    <w:p w:rsidR="00547AAE" w:rsidRPr="006B5129" w:rsidRDefault="00547AAE" w:rsidP="00C30723">
      <w:pPr>
        <w:pStyle w:val="Textoindependiente"/>
        <w:spacing w:line="276" w:lineRule="auto"/>
        <w:rPr>
          <w:sz w:val="24"/>
          <w:szCs w:val="24"/>
        </w:rPr>
      </w:pPr>
    </w:p>
    <w:p w:rsidR="00547AAE" w:rsidRPr="006B5129" w:rsidRDefault="00547AAE" w:rsidP="00C30723">
      <w:pPr>
        <w:pStyle w:val="Textoindependiente"/>
        <w:spacing w:line="276" w:lineRule="auto"/>
        <w:ind w:left="102" w:right="125"/>
        <w:jc w:val="both"/>
        <w:rPr>
          <w:sz w:val="24"/>
          <w:szCs w:val="24"/>
        </w:rPr>
      </w:pPr>
      <w:r w:rsidRPr="006B5129">
        <w:rPr>
          <w:sz w:val="24"/>
          <w:szCs w:val="24"/>
        </w:rPr>
        <w:t>Las primeras 5 áreas metropolitanas mencionadas, fueron constituidas mediante ordenanza de conformidad con la autorización otorgada mediante los artículos 16</w:t>
      </w:r>
      <w:r w:rsidRPr="006B5129">
        <w:rPr>
          <w:rStyle w:val="Refdenotaalpie"/>
          <w:sz w:val="24"/>
          <w:szCs w:val="24"/>
        </w:rPr>
        <w:footnoteReference w:id="1"/>
      </w:r>
      <w:r w:rsidRPr="006B5129">
        <w:rPr>
          <w:position w:val="9"/>
          <w:sz w:val="24"/>
          <w:szCs w:val="24"/>
        </w:rPr>
        <w:t xml:space="preserve"> </w:t>
      </w:r>
      <w:r w:rsidRPr="006B5129">
        <w:rPr>
          <w:sz w:val="24"/>
          <w:szCs w:val="24"/>
        </w:rPr>
        <w:t>y 17</w:t>
      </w:r>
      <w:r w:rsidRPr="006B5129">
        <w:rPr>
          <w:rStyle w:val="Refdenotaalpie"/>
          <w:sz w:val="24"/>
          <w:szCs w:val="24"/>
        </w:rPr>
        <w:footnoteReference w:id="2"/>
      </w:r>
      <w:r w:rsidRPr="006B5129">
        <w:rPr>
          <w:sz w:val="24"/>
          <w:szCs w:val="24"/>
        </w:rPr>
        <w:t xml:space="preserve"> del Decreto 3104 de1979.</w:t>
      </w:r>
    </w:p>
    <w:p w:rsidR="00547AAE" w:rsidRPr="006B5129" w:rsidRDefault="00547AAE" w:rsidP="00C30723">
      <w:pPr>
        <w:pStyle w:val="Textoindependiente"/>
        <w:spacing w:before="4" w:line="276" w:lineRule="auto"/>
        <w:rPr>
          <w:sz w:val="24"/>
          <w:szCs w:val="24"/>
        </w:rPr>
      </w:pPr>
    </w:p>
    <w:p w:rsidR="00547AAE" w:rsidRPr="006B5129" w:rsidRDefault="00547AAE" w:rsidP="00C30723">
      <w:pPr>
        <w:pStyle w:val="Textoindependiente"/>
        <w:spacing w:after="23" w:line="276" w:lineRule="auto"/>
        <w:ind w:left="102" w:right="117"/>
        <w:jc w:val="both"/>
        <w:rPr>
          <w:sz w:val="24"/>
          <w:szCs w:val="24"/>
        </w:rPr>
      </w:pPr>
      <w:r w:rsidRPr="006B5129">
        <w:rPr>
          <w:sz w:val="24"/>
          <w:szCs w:val="24"/>
        </w:rPr>
        <w:t>En este sentido, la única área metropolitana que se ha consolidado mediante la refrendación ciudadana, ha sido la de Valledupar, que mediante consulta popular del 8 de marzo de 1998 fue avalada por 67.649 votos, y protocolizada mediante Escritura Pública número 2004 de 17 de diciembre de</w:t>
      </w:r>
      <w:r w:rsidRPr="006B5129">
        <w:rPr>
          <w:spacing w:val="-2"/>
          <w:sz w:val="24"/>
          <w:szCs w:val="24"/>
        </w:rPr>
        <w:t xml:space="preserve"> </w:t>
      </w:r>
      <w:r w:rsidRPr="006B5129">
        <w:rPr>
          <w:sz w:val="24"/>
          <w:szCs w:val="24"/>
        </w:rPr>
        <w:t>2002.</w:t>
      </w:r>
    </w:p>
    <w:p w:rsidR="00547AAE" w:rsidRPr="006B5129" w:rsidRDefault="00547AAE" w:rsidP="00C30723">
      <w:pPr>
        <w:pStyle w:val="Textoindependiente"/>
        <w:spacing w:after="23" w:line="276" w:lineRule="auto"/>
        <w:ind w:left="102" w:right="117"/>
        <w:jc w:val="both"/>
        <w:rPr>
          <w:sz w:val="24"/>
          <w:szCs w:val="24"/>
        </w:rPr>
      </w:pPr>
    </w:p>
    <w:p w:rsidR="00547AAE" w:rsidRPr="006B5129" w:rsidRDefault="00547AAE" w:rsidP="00C30723">
      <w:pPr>
        <w:spacing w:before="91" w:line="276" w:lineRule="auto"/>
        <w:ind w:right="122"/>
        <w:jc w:val="both"/>
        <w:rPr>
          <w:rFonts w:ascii="Arial" w:hAnsi="Arial" w:cs="Arial"/>
          <w:i/>
          <w:sz w:val="24"/>
          <w:szCs w:val="24"/>
        </w:rPr>
      </w:pPr>
      <w:r w:rsidRPr="006B5129">
        <w:rPr>
          <w:rFonts w:ascii="Arial" w:hAnsi="Arial" w:cs="Arial"/>
          <w:sz w:val="24"/>
          <w:szCs w:val="24"/>
        </w:rPr>
        <w:t>Es decir, en aplicación de las disposiciones previstas por la Ley 128 de 1994, que dispuso “</w:t>
      </w:r>
      <w:r w:rsidRPr="006B5129">
        <w:rPr>
          <w:rFonts w:ascii="Arial" w:hAnsi="Arial" w:cs="Arial"/>
          <w:i/>
          <w:sz w:val="24"/>
          <w:szCs w:val="24"/>
        </w:rPr>
        <w:t>El texto del proyecto de constitución del Área Metropolitana será sometido a consulta popular la cual se entenderá aprobada por el voto afirmativo de la mayoría de los sufragantes. Sólo podrá convocarse de nuevo a consulta popular, sobre la misma materia, cuando se hubiese renovado los Concejos</w:t>
      </w:r>
      <w:r w:rsidRPr="006B5129">
        <w:rPr>
          <w:rFonts w:ascii="Arial" w:hAnsi="Arial" w:cs="Arial"/>
          <w:i/>
          <w:spacing w:val="-2"/>
          <w:sz w:val="24"/>
          <w:szCs w:val="24"/>
        </w:rPr>
        <w:t xml:space="preserve"> </w:t>
      </w:r>
      <w:r w:rsidRPr="006B5129">
        <w:rPr>
          <w:rFonts w:ascii="Arial" w:hAnsi="Arial" w:cs="Arial"/>
          <w:i/>
          <w:sz w:val="24"/>
          <w:szCs w:val="24"/>
        </w:rPr>
        <w:t>Municipales”.</w:t>
      </w:r>
    </w:p>
    <w:p w:rsidR="00547AAE" w:rsidRPr="006B5129" w:rsidRDefault="00547AAE" w:rsidP="00C30723">
      <w:pPr>
        <w:pStyle w:val="Textoindependiente"/>
        <w:spacing w:line="276" w:lineRule="auto"/>
        <w:rPr>
          <w:i/>
          <w:sz w:val="24"/>
          <w:szCs w:val="24"/>
        </w:rPr>
      </w:pPr>
    </w:p>
    <w:p w:rsidR="009E5F27" w:rsidRPr="006B5129" w:rsidRDefault="009E5F27" w:rsidP="00C30723">
      <w:pPr>
        <w:spacing w:line="276" w:lineRule="auto"/>
        <w:ind w:left="102" w:right="117"/>
        <w:jc w:val="both"/>
        <w:rPr>
          <w:rFonts w:ascii="Arial" w:hAnsi="Arial" w:cs="Arial"/>
          <w:sz w:val="24"/>
          <w:szCs w:val="24"/>
        </w:rPr>
      </w:pPr>
    </w:p>
    <w:p w:rsidR="009E5F27" w:rsidRPr="006B5129" w:rsidRDefault="009E5F27" w:rsidP="00C30723">
      <w:pPr>
        <w:spacing w:line="276" w:lineRule="auto"/>
        <w:ind w:left="102" w:right="117"/>
        <w:jc w:val="both"/>
        <w:rPr>
          <w:rFonts w:ascii="Arial" w:hAnsi="Arial" w:cs="Arial"/>
          <w:sz w:val="24"/>
          <w:szCs w:val="24"/>
        </w:rPr>
      </w:pPr>
    </w:p>
    <w:p w:rsidR="009E5F27" w:rsidRPr="006B5129" w:rsidRDefault="009E5F27" w:rsidP="00C30723">
      <w:pPr>
        <w:spacing w:line="276" w:lineRule="auto"/>
        <w:ind w:left="102" w:right="117"/>
        <w:jc w:val="both"/>
        <w:rPr>
          <w:rFonts w:ascii="Arial" w:hAnsi="Arial" w:cs="Arial"/>
          <w:sz w:val="24"/>
          <w:szCs w:val="24"/>
        </w:rPr>
      </w:pPr>
    </w:p>
    <w:p w:rsidR="00547AAE" w:rsidRPr="006B5129" w:rsidRDefault="00547AAE" w:rsidP="009E5F27">
      <w:pPr>
        <w:spacing w:line="276" w:lineRule="auto"/>
        <w:ind w:left="102" w:right="117"/>
        <w:jc w:val="both"/>
        <w:rPr>
          <w:rFonts w:ascii="Arial" w:hAnsi="Arial" w:cs="Arial"/>
          <w:i/>
          <w:sz w:val="24"/>
          <w:szCs w:val="24"/>
        </w:rPr>
      </w:pPr>
      <w:r w:rsidRPr="006B5129">
        <w:rPr>
          <w:rFonts w:ascii="Arial" w:hAnsi="Arial" w:cs="Arial"/>
          <w:sz w:val="24"/>
          <w:szCs w:val="24"/>
        </w:rPr>
        <w:t>Mediante ley 1625 de 2013, la disposición transcrita fue modificada en el siguiente orden: “</w:t>
      </w:r>
      <w:r w:rsidRPr="006B5129">
        <w:rPr>
          <w:rFonts w:ascii="Arial" w:hAnsi="Arial" w:cs="Arial"/>
          <w:i/>
          <w:sz w:val="24"/>
          <w:szCs w:val="24"/>
        </w:rPr>
        <w:t>Se entenderá aprobado el proyecto sometido a consulta popular cuando la mayoría de votos de cada uno de los municipios interesados sea favorable a la propuesta y la participación ciudadana haya alcanzado al menos la cuarta parte de la población registrada en el respectivo censo electoral de cada uno de los municipios intervinientes</w:t>
      </w:r>
      <w:r w:rsidRPr="006B5129">
        <w:rPr>
          <w:rFonts w:ascii="Arial" w:hAnsi="Arial" w:cs="Arial"/>
          <w:sz w:val="24"/>
          <w:szCs w:val="24"/>
        </w:rPr>
        <w:t>.”</w:t>
      </w:r>
    </w:p>
    <w:p w:rsidR="00547AAE" w:rsidRPr="006B5129" w:rsidRDefault="00547AAE" w:rsidP="00C30723">
      <w:pPr>
        <w:pStyle w:val="Textoindependiente"/>
        <w:spacing w:line="276" w:lineRule="auto"/>
        <w:rPr>
          <w:sz w:val="24"/>
          <w:szCs w:val="24"/>
        </w:rPr>
      </w:pPr>
    </w:p>
    <w:p w:rsidR="00547AAE" w:rsidRPr="006B5129" w:rsidRDefault="00547AAE" w:rsidP="00C30723">
      <w:pPr>
        <w:pStyle w:val="Textoindependiente"/>
        <w:spacing w:line="276" w:lineRule="auto"/>
        <w:ind w:left="102" w:right="115"/>
        <w:jc w:val="both"/>
        <w:rPr>
          <w:sz w:val="24"/>
          <w:szCs w:val="24"/>
        </w:rPr>
      </w:pPr>
      <w:r w:rsidRPr="006B5129">
        <w:rPr>
          <w:sz w:val="24"/>
          <w:szCs w:val="24"/>
        </w:rPr>
        <w:t>La modificación emprendida por el Congreso de la República, en ningún momento pretendió desincentivar la creación de Áreas Metropolitanas, pero a pesar de ello, la realidad ha demostrado que en efecto las entidades territoriales no han avanzado en el desarrollo de esta importante figura jurídica, bajo la hipótesis que el legislador puso umbrales más altos de los que normalmente un alcalde alcanza para salir elegido.</w:t>
      </w:r>
    </w:p>
    <w:p w:rsidR="009E5F27" w:rsidRPr="006B5129" w:rsidRDefault="009E5F27" w:rsidP="00C30723">
      <w:pPr>
        <w:pStyle w:val="Textoindependiente"/>
        <w:spacing w:line="276" w:lineRule="auto"/>
        <w:ind w:left="102" w:right="121"/>
        <w:jc w:val="both"/>
        <w:rPr>
          <w:sz w:val="24"/>
          <w:szCs w:val="24"/>
        </w:rPr>
      </w:pPr>
    </w:p>
    <w:p w:rsidR="00547AAE" w:rsidRPr="006B5129" w:rsidRDefault="00547AAE" w:rsidP="00C30723">
      <w:pPr>
        <w:pStyle w:val="Textoindependiente"/>
        <w:spacing w:line="276" w:lineRule="auto"/>
        <w:ind w:left="102" w:right="121"/>
        <w:jc w:val="both"/>
        <w:rPr>
          <w:sz w:val="24"/>
          <w:szCs w:val="24"/>
        </w:rPr>
      </w:pPr>
      <w:r w:rsidRPr="006B5129">
        <w:rPr>
          <w:sz w:val="24"/>
          <w:szCs w:val="24"/>
        </w:rPr>
        <w:t>Con posterioridad a la creación de la Ley 1625 de 2013, el Gobierno Nacional</w:t>
      </w:r>
      <w:r w:rsidRPr="006B5129">
        <w:rPr>
          <w:rStyle w:val="Refdenotaalpie"/>
          <w:sz w:val="24"/>
          <w:szCs w:val="24"/>
        </w:rPr>
        <w:footnoteReference w:id="3"/>
      </w:r>
      <w:r w:rsidRPr="006B5129">
        <w:rPr>
          <w:sz w:val="24"/>
          <w:szCs w:val="24"/>
        </w:rPr>
        <w:t xml:space="preserve"> en un “BALANCE PRELIMINAR DE LOS PROCESOS ASOCIATIVOS TERRITORIALES EN COLOMBIA” estableció que, dentro de las principales motivaciones para la conformación de los esquemas asociativos impulsados por la ley de ordenamiento territorial, yacen los de tipo ambiental; económico; urbano-regional; socio-Cultural y político- institucional. “</w:t>
      </w:r>
      <w:r w:rsidRPr="006B5129">
        <w:rPr>
          <w:i/>
          <w:sz w:val="24"/>
          <w:szCs w:val="24"/>
        </w:rPr>
        <w:t>El propósito que predomina entre los esquemas asociativos hoy es la formulación de proyectos de inversión de interés</w:t>
      </w:r>
      <w:r w:rsidRPr="006B5129">
        <w:rPr>
          <w:i/>
          <w:spacing w:val="-23"/>
          <w:sz w:val="24"/>
          <w:szCs w:val="24"/>
        </w:rPr>
        <w:t xml:space="preserve"> </w:t>
      </w:r>
      <w:r w:rsidRPr="006B5129">
        <w:rPr>
          <w:i/>
          <w:sz w:val="24"/>
          <w:szCs w:val="24"/>
        </w:rPr>
        <w:t>regional.</w:t>
      </w:r>
      <w:r w:rsidRPr="006B5129">
        <w:rPr>
          <w:sz w:val="24"/>
          <w:szCs w:val="24"/>
        </w:rPr>
        <w:t>”</w:t>
      </w:r>
    </w:p>
    <w:p w:rsidR="00547AAE" w:rsidRPr="006B5129" w:rsidRDefault="00547AAE" w:rsidP="00C30723">
      <w:pPr>
        <w:pStyle w:val="Textoindependiente"/>
        <w:spacing w:line="276" w:lineRule="auto"/>
        <w:ind w:left="102" w:right="121"/>
        <w:jc w:val="both"/>
        <w:rPr>
          <w:sz w:val="24"/>
          <w:szCs w:val="24"/>
        </w:rPr>
      </w:pPr>
    </w:p>
    <w:p w:rsidR="00547AAE" w:rsidRPr="006B5129" w:rsidRDefault="00547AAE" w:rsidP="00C30723">
      <w:pPr>
        <w:pStyle w:val="Textoindependiente"/>
        <w:spacing w:before="91" w:line="276" w:lineRule="auto"/>
        <w:ind w:right="119"/>
        <w:jc w:val="both"/>
        <w:rPr>
          <w:sz w:val="24"/>
          <w:szCs w:val="24"/>
        </w:rPr>
      </w:pPr>
      <w:r w:rsidRPr="006B5129">
        <w:rPr>
          <w:sz w:val="24"/>
          <w:szCs w:val="24"/>
        </w:rPr>
        <w:t xml:space="preserve">Con esto en mente y tomando en consideración que el Plan Nacional de Desarrollo estableció un Programa Nacional de Delegación </w:t>
      </w:r>
      <w:r w:rsidRPr="006B5129">
        <w:rPr>
          <w:spacing w:val="-6"/>
          <w:sz w:val="24"/>
          <w:szCs w:val="24"/>
        </w:rPr>
        <w:t xml:space="preserve">de </w:t>
      </w:r>
      <w:r w:rsidRPr="006B5129">
        <w:rPr>
          <w:sz w:val="24"/>
          <w:szCs w:val="24"/>
        </w:rPr>
        <w:t>Competencias Diferenciadas, cuyos principales ejes son: Transporte; alumbrado público y vivienda. Así como que la Ley 1454 de 2011, previo como principales principios los de asociatividad y gradualidad y</w:t>
      </w:r>
      <w:r w:rsidRPr="006B5129">
        <w:rPr>
          <w:spacing w:val="-16"/>
          <w:sz w:val="24"/>
          <w:szCs w:val="24"/>
        </w:rPr>
        <w:t xml:space="preserve"> </w:t>
      </w:r>
      <w:r w:rsidRPr="006B5129">
        <w:rPr>
          <w:sz w:val="24"/>
          <w:szCs w:val="24"/>
        </w:rPr>
        <w:t>flexibilidad:</w:t>
      </w:r>
    </w:p>
    <w:p w:rsidR="00547AAE" w:rsidRPr="006B5129" w:rsidRDefault="00547AAE" w:rsidP="00C30723">
      <w:pPr>
        <w:pStyle w:val="Textoindependiente"/>
        <w:spacing w:line="276" w:lineRule="auto"/>
        <w:rPr>
          <w:sz w:val="24"/>
          <w:szCs w:val="24"/>
        </w:rPr>
      </w:pPr>
    </w:p>
    <w:p w:rsidR="009E5F27" w:rsidRPr="006B5129" w:rsidRDefault="00547AAE" w:rsidP="009E5F27">
      <w:pPr>
        <w:spacing w:line="276" w:lineRule="auto"/>
        <w:ind w:left="810" w:right="119"/>
        <w:jc w:val="both"/>
        <w:rPr>
          <w:rFonts w:ascii="Arial" w:hAnsi="Arial" w:cs="Arial"/>
          <w:i/>
          <w:sz w:val="24"/>
          <w:szCs w:val="24"/>
        </w:rPr>
      </w:pPr>
      <w:r w:rsidRPr="006B5129">
        <w:rPr>
          <w:rFonts w:ascii="Arial" w:hAnsi="Arial" w:cs="Arial"/>
          <w:i/>
          <w:sz w:val="24"/>
          <w:szCs w:val="24"/>
        </w:rPr>
        <w:t xml:space="preserve">Principio de </w:t>
      </w:r>
      <w:proofErr w:type="spellStart"/>
      <w:r w:rsidRPr="006B5129">
        <w:rPr>
          <w:rFonts w:ascii="Arial" w:hAnsi="Arial" w:cs="Arial"/>
          <w:i/>
          <w:sz w:val="24"/>
          <w:szCs w:val="24"/>
        </w:rPr>
        <w:t>Asociatividad</w:t>
      </w:r>
      <w:proofErr w:type="spellEnd"/>
      <w:r w:rsidRPr="006B5129">
        <w:rPr>
          <w:rFonts w:ascii="Arial" w:hAnsi="Arial" w:cs="Arial"/>
          <w:i/>
          <w:sz w:val="24"/>
          <w:szCs w:val="24"/>
        </w:rPr>
        <w:t>. El ordenamiento territorial propiciará la formación de asociaciones entre las entidades territoriales e instancias de integración territorial para producir economías de escala, generar sinergias y alianzas competitivas, para la consecución de objetivos de desarrollo económico y territorial</w:t>
      </w:r>
      <w:r w:rsidRPr="006B5129">
        <w:rPr>
          <w:rFonts w:ascii="Arial" w:hAnsi="Arial" w:cs="Arial"/>
          <w:i/>
          <w:spacing w:val="-5"/>
          <w:sz w:val="24"/>
          <w:szCs w:val="24"/>
        </w:rPr>
        <w:t xml:space="preserve"> </w:t>
      </w:r>
      <w:r w:rsidRPr="006B5129">
        <w:rPr>
          <w:rFonts w:ascii="Arial" w:hAnsi="Arial" w:cs="Arial"/>
          <w:i/>
          <w:sz w:val="24"/>
          <w:szCs w:val="24"/>
        </w:rPr>
        <w:t>comunes.</w:t>
      </w:r>
    </w:p>
    <w:p w:rsidR="009E5F27" w:rsidRPr="006B5129" w:rsidRDefault="009E5F27" w:rsidP="009E5F27">
      <w:pPr>
        <w:spacing w:line="276" w:lineRule="auto"/>
        <w:ind w:left="810" w:right="119"/>
        <w:jc w:val="both"/>
        <w:rPr>
          <w:rFonts w:ascii="Arial" w:hAnsi="Arial" w:cs="Arial"/>
          <w:i/>
          <w:sz w:val="24"/>
          <w:szCs w:val="24"/>
        </w:rPr>
      </w:pPr>
    </w:p>
    <w:p w:rsidR="009E5F27" w:rsidRPr="006B5129" w:rsidRDefault="009E5F27" w:rsidP="009E5F27">
      <w:pPr>
        <w:spacing w:line="276" w:lineRule="auto"/>
        <w:ind w:left="810" w:right="119"/>
        <w:jc w:val="both"/>
        <w:rPr>
          <w:rFonts w:ascii="Arial" w:hAnsi="Arial" w:cs="Arial"/>
          <w:i/>
          <w:sz w:val="24"/>
          <w:szCs w:val="24"/>
        </w:rPr>
      </w:pPr>
    </w:p>
    <w:p w:rsidR="009E5F27" w:rsidRPr="006B5129" w:rsidRDefault="009E5F27" w:rsidP="009E5F27">
      <w:pPr>
        <w:spacing w:line="276" w:lineRule="auto"/>
        <w:ind w:left="810" w:right="119"/>
        <w:jc w:val="both"/>
        <w:rPr>
          <w:rFonts w:ascii="Arial" w:hAnsi="Arial" w:cs="Arial"/>
          <w:i/>
          <w:sz w:val="24"/>
          <w:szCs w:val="24"/>
        </w:rPr>
      </w:pPr>
    </w:p>
    <w:p w:rsidR="00547AAE" w:rsidRPr="006B5129" w:rsidRDefault="00547AAE" w:rsidP="00C30723">
      <w:pPr>
        <w:spacing w:line="276" w:lineRule="auto"/>
        <w:ind w:left="810" w:right="119"/>
        <w:jc w:val="both"/>
        <w:rPr>
          <w:rFonts w:ascii="Arial" w:hAnsi="Arial" w:cs="Arial"/>
          <w:i/>
          <w:sz w:val="24"/>
          <w:szCs w:val="24"/>
        </w:rPr>
      </w:pPr>
      <w:r w:rsidRPr="006B5129">
        <w:rPr>
          <w:rFonts w:ascii="Arial" w:hAnsi="Arial" w:cs="Arial"/>
          <w:i/>
          <w:sz w:val="24"/>
          <w:szCs w:val="24"/>
        </w:rPr>
        <w:t>Gradualidad y flexibilidad. El ordenamiento territorial reconoce la diversidad de las comunidades y de las áreas geográficas que componen el país, por tanto, ajustará las diferentes formas de división territorial. Las entidades e instancias de integración territorial se adaptarán progresivamente, para lo cual podrán asignárseles las competencias y recursos que les permitan aumentar su capacidad planificadora, administrativa y de gestión.</w:t>
      </w:r>
    </w:p>
    <w:p w:rsidR="00547AAE" w:rsidRPr="006B5129" w:rsidRDefault="00547AAE" w:rsidP="00C30723">
      <w:pPr>
        <w:spacing w:before="1" w:line="276" w:lineRule="auto"/>
        <w:ind w:left="810" w:right="121"/>
        <w:jc w:val="both"/>
        <w:rPr>
          <w:rFonts w:ascii="Arial" w:hAnsi="Arial" w:cs="Arial"/>
          <w:i/>
          <w:sz w:val="24"/>
          <w:szCs w:val="24"/>
        </w:rPr>
      </w:pPr>
      <w:r w:rsidRPr="006B5129">
        <w:rPr>
          <w:rFonts w:ascii="Arial" w:hAnsi="Arial" w:cs="Arial"/>
          <w:i/>
          <w:sz w:val="24"/>
          <w:szCs w:val="24"/>
        </w:rPr>
        <w:t>En el caso de las instancias de integración, las competencias y recursos serán asignados por las respectivas entidades territoriales que las componen.</w:t>
      </w:r>
    </w:p>
    <w:p w:rsidR="00547AAE" w:rsidRPr="006B5129" w:rsidRDefault="00547AAE" w:rsidP="00C30723">
      <w:pPr>
        <w:spacing w:before="1" w:line="276" w:lineRule="auto"/>
        <w:ind w:left="810" w:right="121"/>
        <w:jc w:val="both"/>
        <w:rPr>
          <w:rFonts w:ascii="Arial" w:hAnsi="Arial" w:cs="Arial"/>
          <w:i/>
          <w:sz w:val="24"/>
          <w:szCs w:val="24"/>
        </w:rPr>
      </w:pPr>
    </w:p>
    <w:p w:rsidR="00547AAE" w:rsidRPr="006B5129" w:rsidRDefault="00547AAE" w:rsidP="00C30723">
      <w:pPr>
        <w:pStyle w:val="Textoindependiente"/>
        <w:spacing w:line="276" w:lineRule="auto"/>
        <w:ind w:left="102" w:right="119"/>
        <w:jc w:val="both"/>
        <w:rPr>
          <w:sz w:val="24"/>
          <w:szCs w:val="24"/>
        </w:rPr>
      </w:pPr>
      <w:r w:rsidRPr="006B5129">
        <w:rPr>
          <w:sz w:val="24"/>
          <w:szCs w:val="24"/>
        </w:rPr>
        <w:t>Es preciso que en pro de facilitar la conformación de Áreas Metropolitanas que han estado latentes como las de La Sabana de Bogotá; Cali; Popayán; Tunja; Villavicencio; Girardot; Cartagena; Manizales; Santa Marta; Armenia; Sincelejo; Ibagué; Nariño; Montería; Neiva y Barrancabermeja, el honorable Congreso de la República, siga garantizando la toma de decisiones mediante la participación popular, pero también considerando la capacidad de acción política de sus</w:t>
      </w:r>
      <w:r w:rsidRPr="006B5129">
        <w:rPr>
          <w:spacing w:val="-2"/>
          <w:sz w:val="24"/>
          <w:szCs w:val="24"/>
        </w:rPr>
        <w:t xml:space="preserve"> </w:t>
      </w:r>
      <w:r w:rsidRPr="006B5129">
        <w:rPr>
          <w:sz w:val="24"/>
          <w:szCs w:val="24"/>
        </w:rPr>
        <w:t>dirigentes.</w:t>
      </w:r>
    </w:p>
    <w:p w:rsidR="00547AAE" w:rsidRPr="006B5129" w:rsidRDefault="00547AAE" w:rsidP="00C30723">
      <w:pPr>
        <w:pStyle w:val="Textoindependiente"/>
        <w:spacing w:line="276" w:lineRule="auto"/>
        <w:ind w:left="102" w:right="119"/>
        <w:jc w:val="both"/>
        <w:rPr>
          <w:sz w:val="24"/>
          <w:szCs w:val="24"/>
        </w:rPr>
      </w:pPr>
    </w:p>
    <w:p w:rsidR="00547AAE" w:rsidRPr="006B5129" w:rsidRDefault="00547AAE" w:rsidP="00C30723">
      <w:pPr>
        <w:pStyle w:val="Textoindependiente"/>
        <w:spacing w:before="91" w:line="276" w:lineRule="auto"/>
        <w:ind w:left="102" w:right="115"/>
        <w:jc w:val="both"/>
        <w:rPr>
          <w:sz w:val="24"/>
          <w:szCs w:val="24"/>
        </w:rPr>
      </w:pPr>
      <w:r w:rsidRPr="006B5129">
        <w:rPr>
          <w:sz w:val="24"/>
          <w:szCs w:val="24"/>
        </w:rPr>
        <w:t>Basta observar, de un lado que en las elecciones regionales para alcaldías entre el año 2000 y el 2015 la media de abstención es del 49,21%, y del otro, que, de 25 ciudades capitales, excluyendo las 6 que ya pertenecen a Áreas Metropolitanas, 13 de ellas tienen alcaldes que no alcanzaron a obtener para su elección el 25% que se pide para la constitución de las Áreas Metropolitanas:</w:t>
      </w:r>
    </w:p>
    <w:p w:rsidR="00547AAE" w:rsidRPr="006B5129" w:rsidRDefault="00547AAE" w:rsidP="00C30723">
      <w:pPr>
        <w:pStyle w:val="Textoindependiente"/>
        <w:spacing w:before="8" w:line="276" w:lineRule="auto"/>
        <w:rPr>
          <w:sz w:val="24"/>
          <w:szCs w:val="24"/>
        </w:rPr>
      </w:pPr>
    </w:p>
    <w:p w:rsidR="00547AAE" w:rsidRPr="006B5129" w:rsidRDefault="00547AAE" w:rsidP="00C30723">
      <w:pPr>
        <w:spacing w:line="276" w:lineRule="auto"/>
        <w:ind w:left="810"/>
        <w:rPr>
          <w:rFonts w:ascii="Arial" w:hAnsi="Arial" w:cs="Arial"/>
          <w:i/>
          <w:sz w:val="24"/>
          <w:szCs w:val="24"/>
        </w:rPr>
      </w:pPr>
      <w:r w:rsidRPr="006B5129">
        <w:rPr>
          <w:rFonts w:ascii="Arial" w:hAnsi="Arial" w:cs="Arial"/>
          <w:i/>
          <w:sz w:val="24"/>
          <w:szCs w:val="24"/>
        </w:rPr>
        <w:t>Amazonas – Leticia: Censo electoral: 34,044 alcaldía: 6437 18.9%</w:t>
      </w:r>
    </w:p>
    <w:p w:rsidR="00547AAE" w:rsidRPr="006B5129" w:rsidRDefault="00547AAE" w:rsidP="00C30723">
      <w:pPr>
        <w:spacing w:before="138" w:line="276" w:lineRule="auto"/>
        <w:ind w:left="810"/>
        <w:rPr>
          <w:rFonts w:ascii="Arial" w:hAnsi="Arial" w:cs="Arial"/>
          <w:i/>
          <w:sz w:val="24"/>
          <w:szCs w:val="24"/>
        </w:rPr>
      </w:pPr>
      <w:r w:rsidRPr="006B5129">
        <w:rPr>
          <w:rFonts w:ascii="Arial" w:hAnsi="Arial" w:cs="Arial"/>
          <w:i/>
          <w:sz w:val="24"/>
          <w:szCs w:val="24"/>
        </w:rPr>
        <w:t>Arauca - Arauca: Censo electoral: 66,150 alcaldía: 16262 24.5%</w:t>
      </w:r>
    </w:p>
    <w:p w:rsidR="00547AAE" w:rsidRPr="006B5129" w:rsidRDefault="00547AAE" w:rsidP="00C30723">
      <w:pPr>
        <w:spacing w:before="139" w:line="276" w:lineRule="auto"/>
        <w:ind w:left="810"/>
        <w:rPr>
          <w:rFonts w:ascii="Arial" w:hAnsi="Arial" w:cs="Arial"/>
          <w:i/>
          <w:sz w:val="24"/>
          <w:szCs w:val="24"/>
        </w:rPr>
      </w:pPr>
      <w:r w:rsidRPr="006B5129">
        <w:rPr>
          <w:rFonts w:ascii="Arial" w:hAnsi="Arial" w:cs="Arial"/>
          <w:i/>
          <w:sz w:val="24"/>
          <w:szCs w:val="24"/>
        </w:rPr>
        <w:t>Bogotá: Censo electoral: 5.453.086 alcaldía: 903,764 16.5%</w:t>
      </w:r>
    </w:p>
    <w:p w:rsidR="00547AAE" w:rsidRPr="006B5129" w:rsidRDefault="00547AAE" w:rsidP="00C30723">
      <w:pPr>
        <w:spacing w:before="137" w:line="276" w:lineRule="auto"/>
        <w:ind w:left="810"/>
        <w:rPr>
          <w:rFonts w:ascii="Arial" w:hAnsi="Arial" w:cs="Arial"/>
          <w:i/>
          <w:sz w:val="24"/>
          <w:szCs w:val="24"/>
        </w:rPr>
      </w:pPr>
      <w:r w:rsidRPr="006B5129">
        <w:rPr>
          <w:rFonts w:ascii="Arial" w:hAnsi="Arial" w:cs="Arial"/>
          <w:i/>
          <w:sz w:val="24"/>
          <w:szCs w:val="24"/>
        </w:rPr>
        <w:t>Bolívar - Cartagena: Censo electoral: 722004 alcaldía: 126552 17.5%</w:t>
      </w:r>
    </w:p>
    <w:p w:rsidR="00547AAE" w:rsidRPr="006B5129" w:rsidRDefault="00547AAE" w:rsidP="00C30723">
      <w:pPr>
        <w:spacing w:before="139" w:line="276" w:lineRule="auto"/>
        <w:ind w:left="810"/>
        <w:rPr>
          <w:rFonts w:ascii="Arial" w:hAnsi="Arial" w:cs="Arial"/>
          <w:i/>
          <w:sz w:val="24"/>
          <w:szCs w:val="24"/>
        </w:rPr>
      </w:pPr>
      <w:r w:rsidRPr="006B5129">
        <w:rPr>
          <w:rFonts w:ascii="Arial" w:hAnsi="Arial" w:cs="Arial"/>
          <w:i/>
          <w:sz w:val="24"/>
          <w:szCs w:val="24"/>
        </w:rPr>
        <w:t>Boyacá - Tunja: Censo electoral: 116448 alcaldía: 24821 21.3%</w:t>
      </w:r>
    </w:p>
    <w:p w:rsidR="00547AAE" w:rsidRPr="006B5129" w:rsidRDefault="00547AAE" w:rsidP="00C30723">
      <w:pPr>
        <w:spacing w:before="137" w:line="276" w:lineRule="auto"/>
        <w:ind w:left="810"/>
        <w:rPr>
          <w:rFonts w:ascii="Arial" w:hAnsi="Arial" w:cs="Arial"/>
          <w:i/>
          <w:sz w:val="24"/>
          <w:szCs w:val="24"/>
        </w:rPr>
      </w:pPr>
      <w:r w:rsidRPr="006B5129">
        <w:rPr>
          <w:rFonts w:ascii="Arial" w:hAnsi="Arial" w:cs="Arial"/>
          <w:i/>
          <w:sz w:val="24"/>
          <w:szCs w:val="24"/>
        </w:rPr>
        <w:t>Caldas - Manizales: Censo electoral: 321294 alcaldía: 49278 15.3%</w:t>
      </w:r>
    </w:p>
    <w:p w:rsidR="00547AAE" w:rsidRPr="006B5129" w:rsidRDefault="00547AAE" w:rsidP="00C30723">
      <w:pPr>
        <w:spacing w:before="139" w:line="276" w:lineRule="auto"/>
        <w:ind w:left="810"/>
        <w:rPr>
          <w:rFonts w:ascii="Arial" w:hAnsi="Arial" w:cs="Arial"/>
          <w:i/>
          <w:sz w:val="24"/>
          <w:szCs w:val="24"/>
        </w:rPr>
      </w:pPr>
      <w:r w:rsidRPr="006B5129">
        <w:rPr>
          <w:rFonts w:ascii="Arial" w:hAnsi="Arial" w:cs="Arial"/>
          <w:i/>
          <w:sz w:val="24"/>
          <w:szCs w:val="24"/>
        </w:rPr>
        <w:t>Caquetá - Florencia: Censo electoral: 114199 alcaldía: 21955 19.2%</w:t>
      </w:r>
    </w:p>
    <w:p w:rsidR="00547AAE" w:rsidRPr="006B5129" w:rsidRDefault="00547AAE" w:rsidP="00C30723">
      <w:pPr>
        <w:spacing w:before="137" w:line="276" w:lineRule="auto"/>
        <w:ind w:left="810"/>
        <w:rPr>
          <w:rFonts w:ascii="Arial" w:hAnsi="Arial" w:cs="Arial"/>
          <w:i/>
          <w:sz w:val="24"/>
          <w:szCs w:val="24"/>
        </w:rPr>
      </w:pPr>
      <w:r w:rsidRPr="006B5129">
        <w:rPr>
          <w:rFonts w:ascii="Arial" w:hAnsi="Arial" w:cs="Arial"/>
          <w:i/>
          <w:sz w:val="24"/>
          <w:szCs w:val="24"/>
        </w:rPr>
        <w:t>Casanare - Yopal: Censo electoral: 99400 alcaldía: 24515 24.6%</w:t>
      </w:r>
    </w:p>
    <w:p w:rsidR="00547AAE" w:rsidRPr="006B5129" w:rsidRDefault="00547AAE" w:rsidP="00C30723">
      <w:pPr>
        <w:spacing w:before="139" w:line="276" w:lineRule="auto"/>
        <w:ind w:left="810"/>
        <w:rPr>
          <w:rFonts w:ascii="Arial" w:hAnsi="Arial" w:cs="Arial"/>
          <w:i/>
          <w:sz w:val="24"/>
          <w:szCs w:val="24"/>
        </w:rPr>
      </w:pPr>
      <w:r w:rsidRPr="006B5129">
        <w:rPr>
          <w:rFonts w:ascii="Arial" w:hAnsi="Arial" w:cs="Arial"/>
          <w:i/>
          <w:sz w:val="24"/>
          <w:szCs w:val="24"/>
        </w:rPr>
        <w:t>Cauca - Popayán: Censo electoral: 220562 alcaldía: 69787 31.6%</w:t>
      </w:r>
    </w:p>
    <w:p w:rsidR="006B5129" w:rsidRDefault="006B5129" w:rsidP="00C30723">
      <w:pPr>
        <w:spacing w:before="137" w:line="276" w:lineRule="auto"/>
        <w:ind w:left="810"/>
        <w:rPr>
          <w:rFonts w:ascii="Arial" w:hAnsi="Arial" w:cs="Arial"/>
          <w:i/>
          <w:sz w:val="24"/>
          <w:szCs w:val="24"/>
        </w:rPr>
      </w:pPr>
    </w:p>
    <w:p w:rsidR="006B5129" w:rsidRDefault="006B5129" w:rsidP="00C30723">
      <w:pPr>
        <w:spacing w:before="137" w:line="276" w:lineRule="auto"/>
        <w:ind w:left="810"/>
        <w:rPr>
          <w:rFonts w:ascii="Arial" w:hAnsi="Arial" w:cs="Arial"/>
          <w:i/>
          <w:sz w:val="24"/>
          <w:szCs w:val="24"/>
        </w:rPr>
      </w:pPr>
    </w:p>
    <w:p w:rsidR="006B5129" w:rsidRDefault="006B5129" w:rsidP="00C30723">
      <w:pPr>
        <w:spacing w:before="137" w:line="276" w:lineRule="auto"/>
        <w:ind w:left="810"/>
        <w:rPr>
          <w:rFonts w:ascii="Arial" w:hAnsi="Arial" w:cs="Arial"/>
          <w:i/>
          <w:sz w:val="24"/>
          <w:szCs w:val="24"/>
        </w:rPr>
      </w:pPr>
    </w:p>
    <w:p w:rsidR="00547AAE" w:rsidRPr="006B5129" w:rsidRDefault="00547AAE" w:rsidP="00C30723">
      <w:pPr>
        <w:spacing w:before="137" w:line="276" w:lineRule="auto"/>
        <w:ind w:left="810"/>
        <w:rPr>
          <w:rFonts w:ascii="Arial" w:hAnsi="Arial" w:cs="Arial"/>
          <w:i/>
          <w:sz w:val="24"/>
          <w:szCs w:val="24"/>
        </w:rPr>
      </w:pPr>
      <w:r w:rsidRPr="006B5129">
        <w:rPr>
          <w:rFonts w:ascii="Arial" w:hAnsi="Arial" w:cs="Arial"/>
          <w:i/>
          <w:sz w:val="24"/>
          <w:szCs w:val="24"/>
        </w:rPr>
        <w:t>Choco - Quibdó: Censo electoral: 79259 alcaldía: 18048 22.7%</w:t>
      </w:r>
    </w:p>
    <w:p w:rsidR="00547AAE" w:rsidRPr="006B5129" w:rsidRDefault="00547AAE" w:rsidP="00C30723">
      <w:pPr>
        <w:spacing w:before="139" w:line="276" w:lineRule="auto"/>
        <w:ind w:left="810"/>
        <w:rPr>
          <w:rFonts w:ascii="Arial" w:hAnsi="Arial" w:cs="Arial"/>
          <w:i/>
          <w:sz w:val="24"/>
          <w:szCs w:val="24"/>
        </w:rPr>
      </w:pPr>
      <w:r w:rsidRPr="006B5129">
        <w:rPr>
          <w:rFonts w:ascii="Arial" w:hAnsi="Arial" w:cs="Arial"/>
          <w:i/>
          <w:sz w:val="24"/>
          <w:szCs w:val="24"/>
        </w:rPr>
        <w:t>Córdoba - Montería: Censo electoral: 299681 alcaldía: 83167 27.7%</w:t>
      </w:r>
    </w:p>
    <w:p w:rsidR="00547AAE" w:rsidRPr="006B5129" w:rsidRDefault="00547AAE" w:rsidP="00C30723">
      <w:pPr>
        <w:spacing w:before="138" w:line="276" w:lineRule="auto"/>
        <w:ind w:left="810" w:right="675"/>
        <w:rPr>
          <w:rFonts w:ascii="Arial" w:hAnsi="Arial" w:cs="Arial"/>
          <w:i/>
          <w:sz w:val="24"/>
          <w:szCs w:val="24"/>
        </w:rPr>
      </w:pPr>
      <w:r w:rsidRPr="006B5129">
        <w:rPr>
          <w:rFonts w:ascii="Arial" w:hAnsi="Arial" w:cs="Arial"/>
          <w:i/>
          <w:sz w:val="24"/>
          <w:szCs w:val="24"/>
        </w:rPr>
        <w:t xml:space="preserve">Guainía - Inírida: Censo electoral: 18210 alcaldía: 4683 25.7% Guaviare - San </w:t>
      </w:r>
      <w:r w:rsidR="00CD3092" w:rsidRPr="006B5129">
        <w:rPr>
          <w:rFonts w:ascii="Arial" w:hAnsi="Arial" w:cs="Arial"/>
          <w:i/>
          <w:sz w:val="24"/>
          <w:szCs w:val="24"/>
        </w:rPr>
        <w:t>José</w:t>
      </w:r>
      <w:r w:rsidRPr="006B5129">
        <w:rPr>
          <w:rFonts w:ascii="Arial" w:hAnsi="Arial" w:cs="Arial"/>
          <w:i/>
          <w:sz w:val="24"/>
          <w:szCs w:val="24"/>
        </w:rPr>
        <w:t>: Censo electoral: 37297 alcaldía: 7244 19.4% Huila - Neiva: Censo electoral: 251764 alcaldía: 74212 29.4%</w:t>
      </w:r>
    </w:p>
    <w:p w:rsidR="00547AAE" w:rsidRPr="006B5129" w:rsidRDefault="00547AAE" w:rsidP="00C30723">
      <w:pPr>
        <w:spacing w:before="1" w:line="276" w:lineRule="auto"/>
        <w:ind w:left="810"/>
        <w:rPr>
          <w:rFonts w:ascii="Arial" w:hAnsi="Arial" w:cs="Arial"/>
          <w:i/>
          <w:sz w:val="24"/>
          <w:szCs w:val="24"/>
        </w:rPr>
      </w:pPr>
      <w:r w:rsidRPr="006B5129">
        <w:rPr>
          <w:rFonts w:ascii="Arial" w:hAnsi="Arial" w:cs="Arial"/>
          <w:i/>
          <w:sz w:val="24"/>
          <w:szCs w:val="24"/>
        </w:rPr>
        <w:t>La Guajira - Riohacha: Censo electoral: 107380 alcaldía: 34356 31.9% Magdalena - Santa Marta: Censo electoral: 317780 91294 28.7%</w:t>
      </w:r>
    </w:p>
    <w:p w:rsidR="00547AAE" w:rsidRPr="006B5129" w:rsidRDefault="00547AAE" w:rsidP="00C30723">
      <w:pPr>
        <w:spacing w:line="276" w:lineRule="auto"/>
        <w:ind w:left="810"/>
        <w:rPr>
          <w:rFonts w:ascii="Arial" w:hAnsi="Arial" w:cs="Arial"/>
          <w:i/>
          <w:sz w:val="24"/>
          <w:szCs w:val="24"/>
        </w:rPr>
      </w:pPr>
      <w:r w:rsidRPr="006B5129">
        <w:rPr>
          <w:rFonts w:ascii="Arial" w:hAnsi="Arial" w:cs="Arial"/>
          <w:i/>
          <w:sz w:val="24"/>
          <w:szCs w:val="24"/>
        </w:rPr>
        <w:t>Meta - Villavicencio: Censo electoral: 330274 alcaldía: 102825 31.1%</w:t>
      </w:r>
    </w:p>
    <w:p w:rsidR="00547AAE" w:rsidRPr="006B5129" w:rsidRDefault="00547AAE" w:rsidP="00C30723">
      <w:pPr>
        <w:spacing w:before="137" w:line="276" w:lineRule="auto"/>
        <w:ind w:left="810"/>
        <w:rPr>
          <w:rFonts w:ascii="Arial" w:hAnsi="Arial" w:cs="Arial"/>
          <w:i/>
          <w:sz w:val="24"/>
          <w:szCs w:val="24"/>
        </w:rPr>
      </w:pPr>
      <w:r w:rsidRPr="006B5129">
        <w:rPr>
          <w:rFonts w:ascii="Arial" w:hAnsi="Arial" w:cs="Arial"/>
          <w:i/>
          <w:sz w:val="24"/>
          <w:szCs w:val="24"/>
        </w:rPr>
        <w:t>Nariño - Pasto: Censo electoral: 278448 alcaldía: 123194 44.2%</w:t>
      </w:r>
    </w:p>
    <w:p w:rsidR="00547AAE" w:rsidRPr="006B5129" w:rsidRDefault="00547AAE" w:rsidP="00C30723">
      <w:pPr>
        <w:spacing w:before="139" w:line="276" w:lineRule="auto"/>
        <w:ind w:left="810"/>
        <w:rPr>
          <w:rFonts w:ascii="Arial" w:hAnsi="Arial" w:cs="Arial"/>
          <w:i/>
          <w:sz w:val="24"/>
          <w:szCs w:val="24"/>
        </w:rPr>
      </w:pPr>
      <w:r w:rsidRPr="006B5129">
        <w:rPr>
          <w:rFonts w:ascii="Arial" w:hAnsi="Arial" w:cs="Arial"/>
          <w:i/>
          <w:sz w:val="24"/>
          <w:szCs w:val="24"/>
        </w:rPr>
        <w:t>Putumayo - Mocoa: Censo electoral: 34221 alcaldía: 11769 34.3%</w:t>
      </w:r>
    </w:p>
    <w:p w:rsidR="00547AAE" w:rsidRPr="006B5129" w:rsidRDefault="00547AAE" w:rsidP="00C30723">
      <w:pPr>
        <w:spacing w:before="137" w:line="276" w:lineRule="auto"/>
        <w:ind w:left="810"/>
        <w:rPr>
          <w:rFonts w:ascii="Arial" w:hAnsi="Arial" w:cs="Arial"/>
          <w:i/>
          <w:sz w:val="24"/>
          <w:szCs w:val="24"/>
        </w:rPr>
      </w:pPr>
      <w:r w:rsidRPr="006B5129">
        <w:rPr>
          <w:rFonts w:ascii="Arial" w:hAnsi="Arial" w:cs="Arial"/>
          <w:i/>
          <w:sz w:val="24"/>
          <w:szCs w:val="24"/>
        </w:rPr>
        <w:t>Quindío - Armenia: Censo electoral: 245103 alcaldía: 70741 28.5%</w:t>
      </w:r>
    </w:p>
    <w:p w:rsidR="00547AAE" w:rsidRPr="006B5129" w:rsidRDefault="00547AAE" w:rsidP="00C30723">
      <w:pPr>
        <w:spacing w:before="139" w:line="276" w:lineRule="auto"/>
        <w:ind w:left="810"/>
        <w:rPr>
          <w:rFonts w:ascii="Arial" w:hAnsi="Arial" w:cs="Arial"/>
          <w:i/>
          <w:sz w:val="24"/>
          <w:szCs w:val="24"/>
        </w:rPr>
      </w:pPr>
      <w:r w:rsidRPr="006B5129">
        <w:rPr>
          <w:rFonts w:ascii="Arial" w:hAnsi="Arial" w:cs="Arial"/>
          <w:i/>
          <w:sz w:val="24"/>
          <w:szCs w:val="24"/>
        </w:rPr>
        <w:t>Sucre - Sincelejo: Censo electoral: 193233 alcaldía: 57702 29.8%</w:t>
      </w:r>
    </w:p>
    <w:p w:rsidR="00547AAE" w:rsidRPr="006B5129" w:rsidRDefault="00547AAE" w:rsidP="00C30723">
      <w:pPr>
        <w:spacing w:before="137" w:line="276" w:lineRule="auto"/>
        <w:ind w:left="810"/>
        <w:rPr>
          <w:rFonts w:ascii="Arial" w:hAnsi="Arial" w:cs="Arial"/>
          <w:i/>
          <w:sz w:val="24"/>
          <w:szCs w:val="24"/>
        </w:rPr>
      </w:pPr>
      <w:r w:rsidRPr="006B5129">
        <w:rPr>
          <w:rFonts w:ascii="Arial" w:hAnsi="Arial" w:cs="Arial"/>
          <w:i/>
          <w:sz w:val="24"/>
          <w:szCs w:val="24"/>
        </w:rPr>
        <w:t>Tolima - Ibagué: Censo electoral: 388980 alcaldía: 63575 16.3%</w:t>
      </w:r>
    </w:p>
    <w:p w:rsidR="00547AAE" w:rsidRPr="006B5129" w:rsidRDefault="00547AAE" w:rsidP="00C30723">
      <w:pPr>
        <w:spacing w:before="140" w:line="276" w:lineRule="auto"/>
        <w:ind w:left="810"/>
        <w:rPr>
          <w:rFonts w:ascii="Arial" w:hAnsi="Arial" w:cs="Arial"/>
          <w:i/>
          <w:sz w:val="24"/>
          <w:szCs w:val="24"/>
        </w:rPr>
      </w:pPr>
      <w:r w:rsidRPr="006B5129">
        <w:rPr>
          <w:rFonts w:ascii="Arial" w:hAnsi="Arial" w:cs="Arial"/>
          <w:i/>
          <w:sz w:val="24"/>
          <w:szCs w:val="24"/>
        </w:rPr>
        <w:t>Valle - Cali: Censo electoral: 1611391 alcaldía: 264118 16.3%</w:t>
      </w:r>
    </w:p>
    <w:p w:rsidR="00547AAE" w:rsidRPr="006B5129" w:rsidRDefault="00547AAE" w:rsidP="00C30723">
      <w:pPr>
        <w:spacing w:before="136" w:line="276" w:lineRule="auto"/>
        <w:ind w:left="810"/>
        <w:rPr>
          <w:rFonts w:ascii="Arial" w:hAnsi="Arial" w:cs="Arial"/>
          <w:i/>
          <w:sz w:val="24"/>
          <w:szCs w:val="24"/>
        </w:rPr>
      </w:pPr>
      <w:r w:rsidRPr="006B5129">
        <w:rPr>
          <w:rFonts w:ascii="Arial" w:hAnsi="Arial" w:cs="Arial"/>
          <w:i/>
          <w:sz w:val="24"/>
          <w:szCs w:val="24"/>
        </w:rPr>
        <w:t>Vaupés - Mitú: Censo electoral: 15227 alcaldía: 4122 27%</w:t>
      </w:r>
    </w:p>
    <w:p w:rsidR="00547AAE" w:rsidRPr="006B5129" w:rsidRDefault="00547AAE" w:rsidP="00C30723">
      <w:pPr>
        <w:spacing w:before="140" w:line="276" w:lineRule="auto"/>
        <w:ind w:left="810"/>
        <w:rPr>
          <w:rFonts w:ascii="Arial" w:hAnsi="Arial" w:cs="Arial"/>
          <w:i/>
          <w:sz w:val="24"/>
          <w:szCs w:val="24"/>
        </w:rPr>
      </w:pPr>
      <w:r w:rsidRPr="006B5129">
        <w:rPr>
          <w:rFonts w:ascii="Arial" w:hAnsi="Arial" w:cs="Arial"/>
          <w:i/>
          <w:sz w:val="24"/>
          <w:szCs w:val="24"/>
        </w:rPr>
        <w:t>Vichada - Puerto Carreño: Censo electoral: 16922 alcaldía: 2494 14.7%</w:t>
      </w:r>
    </w:p>
    <w:p w:rsidR="00547AAE" w:rsidRPr="006B5129" w:rsidRDefault="00547AAE" w:rsidP="00C30723">
      <w:pPr>
        <w:pStyle w:val="Textoindependiente"/>
        <w:spacing w:line="276" w:lineRule="auto"/>
        <w:ind w:left="102" w:right="119"/>
        <w:jc w:val="both"/>
        <w:rPr>
          <w:sz w:val="24"/>
          <w:szCs w:val="24"/>
        </w:rPr>
      </w:pPr>
    </w:p>
    <w:p w:rsidR="00547AAE" w:rsidRPr="006B5129" w:rsidRDefault="00547AAE" w:rsidP="00C30723">
      <w:pPr>
        <w:spacing w:before="1" w:line="276" w:lineRule="auto"/>
        <w:ind w:right="121"/>
        <w:jc w:val="both"/>
        <w:rPr>
          <w:rFonts w:ascii="Arial" w:hAnsi="Arial" w:cs="Arial"/>
          <w:i/>
          <w:sz w:val="24"/>
          <w:szCs w:val="24"/>
        </w:rPr>
      </w:pPr>
    </w:p>
    <w:p w:rsidR="00547AAE" w:rsidRPr="006B5129" w:rsidRDefault="00547AAE" w:rsidP="00C30723">
      <w:pPr>
        <w:pStyle w:val="Textoindependiente"/>
        <w:spacing w:before="91" w:line="276" w:lineRule="auto"/>
        <w:ind w:left="102" w:right="123"/>
        <w:jc w:val="both"/>
        <w:rPr>
          <w:sz w:val="24"/>
          <w:szCs w:val="24"/>
        </w:rPr>
      </w:pPr>
      <w:r w:rsidRPr="006B5129">
        <w:rPr>
          <w:sz w:val="24"/>
          <w:szCs w:val="24"/>
        </w:rPr>
        <w:t>El Departamento Nacional de Planeación, considera que los principales objetivos de los esquemas asociativos son los siguientes:</w:t>
      </w:r>
    </w:p>
    <w:p w:rsidR="00547AAE" w:rsidRPr="006B5129" w:rsidRDefault="00547AAE" w:rsidP="00C30723">
      <w:pPr>
        <w:pStyle w:val="Textoindependiente"/>
        <w:spacing w:line="276" w:lineRule="auto"/>
        <w:rPr>
          <w:sz w:val="24"/>
          <w:szCs w:val="24"/>
        </w:rPr>
      </w:pPr>
    </w:p>
    <w:p w:rsidR="00547AAE" w:rsidRPr="006B5129" w:rsidRDefault="00547AAE" w:rsidP="00C30723">
      <w:pPr>
        <w:pStyle w:val="Textoindependiente"/>
        <w:spacing w:line="276" w:lineRule="auto"/>
        <w:rPr>
          <w:sz w:val="24"/>
          <w:szCs w:val="24"/>
        </w:rPr>
      </w:pPr>
      <w:r w:rsidRPr="006B5129">
        <w:rPr>
          <w:noProof/>
          <w:sz w:val="24"/>
          <w:szCs w:val="24"/>
          <w:lang w:val="es-CO" w:eastAsia="es-CO" w:bidi="ar-SA"/>
        </w:rPr>
        <w:drawing>
          <wp:anchor distT="0" distB="0" distL="0" distR="0" simplePos="0" relativeHeight="251659264" behindDoc="0" locked="0" layoutInCell="1" allowOverlap="1" wp14:anchorId="146A5A64" wp14:editId="4F1A76B5">
            <wp:simplePos x="0" y="0"/>
            <wp:positionH relativeFrom="page">
              <wp:posOffset>1621592</wp:posOffset>
            </wp:positionH>
            <wp:positionV relativeFrom="paragraph">
              <wp:posOffset>127471</wp:posOffset>
            </wp:positionV>
            <wp:extent cx="4464714" cy="1464182"/>
            <wp:effectExtent l="0" t="0" r="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4464714" cy="1464182"/>
                    </a:xfrm>
                    <a:prstGeom prst="rect">
                      <a:avLst/>
                    </a:prstGeom>
                  </pic:spPr>
                </pic:pic>
              </a:graphicData>
            </a:graphic>
          </wp:anchor>
        </w:drawing>
      </w: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9E5F27" w:rsidRPr="006B5129" w:rsidRDefault="009E5F27" w:rsidP="00C30723">
      <w:pPr>
        <w:pStyle w:val="Textoindependiente"/>
        <w:spacing w:line="276" w:lineRule="auto"/>
        <w:ind w:left="102" w:right="118"/>
        <w:jc w:val="both"/>
        <w:rPr>
          <w:sz w:val="24"/>
          <w:szCs w:val="24"/>
        </w:rPr>
      </w:pPr>
    </w:p>
    <w:p w:rsidR="00547AAE" w:rsidRPr="006B5129" w:rsidRDefault="00547AAE" w:rsidP="00C30723">
      <w:pPr>
        <w:pStyle w:val="Textoindependiente"/>
        <w:spacing w:line="276" w:lineRule="auto"/>
        <w:ind w:left="102" w:right="118"/>
        <w:jc w:val="both"/>
        <w:rPr>
          <w:sz w:val="24"/>
          <w:szCs w:val="24"/>
        </w:rPr>
      </w:pPr>
      <w:r w:rsidRPr="006B5129">
        <w:rPr>
          <w:sz w:val="24"/>
          <w:szCs w:val="24"/>
        </w:rPr>
        <w:t xml:space="preserve">Si se toma en cuenta que las principales funciones de las Áreas Metropolitanas, son :Programar y coordinar el desarrollo armónico, integrado y sustentable de los municipios que la conforman; Racionalizar </w:t>
      </w:r>
      <w:r w:rsidRPr="006B5129">
        <w:rPr>
          <w:spacing w:val="-6"/>
          <w:sz w:val="24"/>
          <w:szCs w:val="24"/>
        </w:rPr>
        <w:t xml:space="preserve">la </w:t>
      </w:r>
      <w:r w:rsidRPr="006B5129">
        <w:rPr>
          <w:sz w:val="24"/>
          <w:szCs w:val="24"/>
        </w:rPr>
        <w:t>prestación de servicios públicos a cargo de los municipios que la integran, y si es del caso, prestar en común algunos de ellos; podrá participar en su prestación de manera subsidiaria, cuando no exista un régimen legal que regule su prestación o cuando existiendo tal regulación, se acepte que el área metropolitana sea un prestador oficial o autorizado; Ejecutar obras de infraestructura vial y desarrollar proyectos de interés social del área metropolitana; y, Establecer en consonancia con lo que disponen las normas sobre ordenamiento territorial, las directrices y orientaciones específicas para el ordenamiento del territorio de los municipios que la integran, con el fin de promover y facilitar la armonización de sus Planes de Ordenamiento</w:t>
      </w:r>
      <w:r w:rsidRPr="006B5129">
        <w:rPr>
          <w:spacing w:val="-2"/>
          <w:sz w:val="24"/>
          <w:szCs w:val="24"/>
        </w:rPr>
        <w:t xml:space="preserve"> </w:t>
      </w:r>
      <w:r w:rsidRPr="006B5129">
        <w:rPr>
          <w:sz w:val="24"/>
          <w:szCs w:val="24"/>
        </w:rPr>
        <w:t>Territorial.</w:t>
      </w:r>
    </w:p>
    <w:p w:rsidR="00547AAE" w:rsidRPr="006B5129" w:rsidRDefault="00547AAE" w:rsidP="00C30723">
      <w:pPr>
        <w:pStyle w:val="Textoindependiente"/>
        <w:spacing w:before="1" w:line="276" w:lineRule="auto"/>
        <w:rPr>
          <w:sz w:val="24"/>
          <w:szCs w:val="24"/>
        </w:rPr>
      </w:pPr>
    </w:p>
    <w:p w:rsidR="00547AAE" w:rsidRPr="006B5129" w:rsidRDefault="00547AAE" w:rsidP="00C30723">
      <w:pPr>
        <w:pStyle w:val="Textoindependiente"/>
        <w:spacing w:line="276" w:lineRule="auto"/>
        <w:ind w:left="102" w:right="122"/>
        <w:jc w:val="both"/>
        <w:rPr>
          <w:sz w:val="24"/>
          <w:szCs w:val="24"/>
        </w:rPr>
      </w:pPr>
      <w:r w:rsidRPr="006B5129">
        <w:rPr>
          <w:sz w:val="24"/>
          <w:szCs w:val="24"/>
        </w:rPr>
        <w:t>Finalmente, se expone como ejemplo de la dificultad antes expuesta, los resultados de la votación por la cual el municipio de Envigado definió ingresar al Área Metropolitana del Valle de Aburrá, el domingo 10 de Julio de 2016, en la que sólo participo el 17.5% del Censo</w:t>
      </w:r>
      <w:r w:rsidRPr="006B5129">
        <w:rPr>
          <w:spacing w:val="-9"/>
          <w:sz w:val="24"/>
          <w:szCs w:val="24"/>
        </w:rPr>
        <w:t xml:space="preserve"> </w:t>
      </w:r>
      <w:r w:rsidRPr="006B5129">
        <w:rPr>
          <w:sz w:val="24"/>
          <w:szCs w:val="24"/>
        </w:rPr>
        <w:t>Electoral.</w:t>
      </w:r>
    </w:p>
    <w:p w:rsidR="00547AAE" w:rsidRPr="006B5129" w:rsidRDefault="00547AAE" w:rsidP="00C30723">
      <w:pPr>
        <w:pStyle w:val="Textoindependiente"/>
        <w:spacing w:before="2" w:line="276" w:lineRule="auto"/>
        <w:rPr>
          <w:sz w:val="24"/>
          <w:szCs w:val="24"/>
        </w:rPr>
      </w:pPr>
    </w:p>
    <w:p w:rsidR="00547AAE" w:rsidRPr="006B5129" w:rsidRDefault="00547AAE" w:rsidP="00C30723">
      <w:pPr>
        <w:pStyle w:val="Textoindependiente"/>
        <w:spacing w:line="276" w:lineRule="auto"/>
        <w:ind w:left="102" w:right="117"/>
        <w:jc w:val="both"/>
        <w:rPr>
          <w:sz w:val="24"/>
          <w:szCs w:val="24"/>
        </w:rPr>
      </w:pPr>
      <w:r w:rsidRPr="006B5129">
        <w:rPr>
          <w:sz w:val="24"/>
          <w:szCs w:val="24"/>
        </w:rPr>
        <w:t>Se concluye que vale la pena permitir la consolidación de estas mediante la disminución del porcentaje de participación necesario para su creación.</w:t>
      </w:r>
    </w:p>
    <w:p w:rsidR="009E5F27" w:rsidRPr="006B5129" w:rsidRDefault="009E5F27" w:rsidP="00C30723">
      <w:pPr>
        <w:pStyle w:val="Textoindependiente"/>
        <w:spacing w:line="276" w:lineRule="auto"/>
        <w:ind w:left="102" w:right="117"/>
        <w:jc w:val="both"/>
        <w:rPr>
          <w:sz w:val="24"/>
          <w:szCs w:val="24"/>
        </w:rPr>
      </w:pPr>
    </w:p>
    <w:p w:rsidR="009E5F27" w:rsidRPr="006B5129" w:rsidRDefault="009E5F27" w:rsidP="00C30723">
      <w:pPr>
        <w:pStyle w:val="Textoindependiente"/>
        <w:spacing w:line="276" w:lineRule="auto"/>
        <w:ind w:left="102" w:right="117"/>
        <w:jc w:val="both"/>
        <w:rPr>
          <w:sz w:val="24"/>
          <w:szCs w:val="24"/>
        </w:rPr>
      </w:pPr>
    </w:p>
    <w:p w:rsidR="009E5F27" w:rsidRPr="006B5129" w:rsidRDefault="009E5F27" w:rsidP="006B5129">
      <w:pPr>
        <w:pStyle w:val="Textoindependiente"/>
        <w:spacing w:line="276" w:lineRule="auto"/>
        <w:ind w:right="117"/>
        <w:jc w:val="both"/>
        <w:rPr>
          <w:sz w:val="24"/>
          <w:szCs w:val="24"/>
        </w:rPr>
      </w:pPr>
      <w:r w:rsidRPr="006B5129">
        <w:rPr>
          <w:sz w:val="24"/>
          <w:szCs w:val="24"/>
        </w:rPr>
        <w:t>Atentamente,</w:t>
      </w:r>
    </w:p>
    <w:p w:rsidR="00547AAE" w:rsidRPr="006B5129" w:rsidRDefault="00547AAE" w:rsidP="00C30723">
      <w:pPr>
        <w:pStyle w:val="Sinespaciado"/>
        <w:spacing w:line="276" w:lineRule="auto"/>
        <w:rPr>
          <w:rFonts w:ascii="Arial" w:hAnsi="Arial" w:cs="Arial"/>
          <w:iCs/>
          <w:color w:val="000000" w:themeColor="text1"/>
          <w:sz w:val="24"/>
          <w:szCs w:val="24"/>
          <w:lang w:eastAsia="es-CO"/>
        </w:rPr>
      </w:pPr>
    </w:p>
    <w:p w:rsidR="00944708" w:rsidRPr="006B5129" w:rsidRDefault="00944708" w:rsidP="00C30723">
      <w:pPr>
        <w:spacing w:line="276" w:lineRule="auto"/>
        <w:rPr>
          <w:rFonts w:ascii="Arial" w:hAnsi="Arial" w:cs="Arial"/>
          <w:sz w:val="24"/>
          <w:szCs w:val="24"/>
        </w:rPr>
      </w:pPr>
    </w:p>
    <w:p w:rsidR="009E5F27" w:rsidRPr="006B5129" w:rsidRDefault="009E5F27" w:rsidP="009E5F27">
      <w:pPr>
        <w:pStyle w:val="Textoindependiente"/>
        <w:spacing w:line="276" w:lineRule="auto"/>
        <w:rPr>
          <w:b/>
          <w:sz w:val="24"/>
          <w:szCs w:val="24"/>
        </w:rPr>
      </w:pPr>
    </w:p>
    <w:p w:rsidR="009E5F27" w:rsidRPr="006B5129" w:rsidRDefault="009E5F27" w:rsidP="009E5F27">
      <w:pPr>
        <w:pStyle w:val="Textoindependiente"/>
        <w:spacing w:line="276" w:lineRule="auto"/>
        <w:rPr>
          <w:b/>
          <w:sz w:val="24"/>
          <w:szCs w:val="24"/>
        </w:rPr>
      </w:pPr>
      <w:r w:rsidRPr="006B5129">
        <w:rPr>
          <w:b/>
          <w:sz w:val="24"/>
          <w:szCs w:val="24"/>
        </w:rPr>
        <w:t>OSCAR DARIO PEREZ PINEDA                     PAOLA HOLGUIN MORENO</w:t>
      </w:r>
    </w:p>
    <w:p w:rsidR="009E5F27" w:rsidRPr="006B5129" w:rsidRDefault="009E5F27" w:rsidP="009E5F27">
      <w:pPr>
        <w:pStyle w:val="Textoindependiente"/>
        <w:spacing w:line="276" w:lineRule="auto"/>
        <w:rPr>
          <w:b/>
          <w:sz w:val="24"/>
          <w:szCs w:val="24"/>
        </w:rPr>
      </w:pPr>
      <w:r w:rsidRPr="006B5129">
        <w:rPr>
          <w:b/>
          <w:sz w:val="24"/>
          <w:szCs w:val="24"/>
        </w:rPr>
        <w:t>Representante a la Cámara                             Senadora de la República</w:t>
      </w:r>
    </w:p>
    <w:p w:rsidR="009E5F27" w:rsidRPr="006B5129" w:rsidRDefault="009E5F27" w:rsidP="009E5F27">
      <w:pPr>
        <w:pStyle w:val="Textoindependiente"/>
        <w:spacing w:line="276" w:lineRule="auto"/>
        <w:rPr>
          <w:b/>
          <w:sz w:val="24"/>
          <w:szCs w:val="24"/>
        </w:rPr>
      </w:pPr>
    </w:p>
    <w:p w:rsidR="009E5F27" w:rsidRPr="006B5129" w:rsidRDefault="009E5F27" w:rsidP="009E5F27">
      <w:pPr>
        <w:pStyle w:val="Textoindependiente"/>
        <w:spacing w:line="276" w:lineRule="auto"/>
        <w:rPr>
          <w:b/>
          <w:sz w:val="24"/>
          <w:szCs w:val="24"/>
        </w:rPr>
      </w:pPr>
    </w:p>
    <w:p w:rsidR="009E5F27" w:rsidRPr="006B5129" w:rsidRDefault="009E5F27" w:rsidP="009E5F27">
      <w:pPr>
        <w:pStyle w:val="Textoindependiente"/>
        <w:spacing w:line="276" w:lineRule="auto"/>
        <w:rPr>
          <w:b/>
          <w:sz w:val="24"/>
          <w:szCs w:val="24"/>
        </w:rPr>
      </w:pPr>
    </w:p>
    <w:p w:rsidR="009E5F27" w:rsidRPr="006B5129" w:rsidRDefault="009E5F27" w:rsidP="009E5F27">
      <w:pPr>
        <w:pStyle w:val="Textoindependiente"/>
        <w:spacing w:line="276" w:lineRule="auto"/>
        <w:rPr>
          <w:b/>
          <w:sz w:val="24"/>
          <w:szCs w:val="24"/>
        </w:rPr>
      </w:pPr>
    </w:p>
    <w:p w:rsidR="009E5F27" w:rsidRPr="006B5129" w:rsidRDefault="009E5F27" w:rsidP="009E5F27">
      <w:pPr>
        <w:pStyle w:val="Textoindependiente"/>
        <w:spacing w:line="276" w:lineRule="auto"/>
        <w:rPr>
          <w:b/>
          <w:sz w:val="24"/>
          <w:szCs w:val="24"/>
        </w:rPr>
      </w:pPr>
    </w:p>
    <w:p w:rsidR="009E5F27" w:rsidRPr="006B5129" w:rsidRDefault="009E5F27" w:rsidP="009E5F27">
      <w:pPr>
        <w:pStyle w:val="Textoindependiente"/>
        <w:spacing w:line="276" w:lineRule="auto"/>
        <w:rPr>
          <w:b/>
          <w:sz w:val="24"/>
          <w:szCs w:val="24"/>
        </w:rPr>
      </w:pPr>
      <w:r w:rsidRPr="006B5129">
        <w:rPr>
          <w:b/>
          <w:sz w:val="24"/>
          <w:szCs w:val="24"/>
        </w:rPr>
        <w:t>ESTEBAN QUINTERO CARDONA</w:t>
      </w:r>
    </w:p>
    <w:p w:rsidR="009E5F27" w:rsidRPr="006B5129" w:rsidRDefault="009E5F27" w:rsidP="009E5F27">
      <w:pPr>
        <w:pStyle w:val="Textoindependiente"/>
        <w:spacing w:line="276" w:lineRule="auto"/>
        <w:rPr>
          <w:b/>
          <w:sz w:val="24"/>
          <w:szCs w:val="24"/>
        </w:rPr>
      </w:pPr>
      <w:r w:rsidRPr="006B5129">
        <w:rPr>
          <w:b/>
          <w:sz w:val="24"/>
          <w:szCs w:val="24"/>
        </w:rPr>
        <w:t>Representante a la Cámara</w:t>
      </w:r>
    </w:p>
    <w:p w:rsidR="009E5F27" w:rsidRPr="006B5129" w:rsidRDefault="009E5F27" w:rsidP="009E5F27">
      <w:pPr>
        <w:pStyle w:val="Textoindependiente"/>
        <w:spacing w:line="276" w:lineRule="auto"/>
        <w:rPr>
          <w:b/>
          <w:sz w:val="24"/>
          <w:szCs w:val="24"/>
        </w:rPr>
      </w:pPr>
    </w:p>
    <w:p w:rsidR="009E5F27" w:rsidRPr="006B5129" w:rsidRDefault="009E5F27" w:rsidP="00C30723">
      <w:pPr>
        <w:spacing w:line="276" w:lineRule="auto"/>
        <w:rPr>
          <w:rFonts w:ascii="Arial" w:hAnsi="Arial" w:cs="Arial"/>
          <w:sz w:val="24"/>
          <w:szCs w:val="24"/>
        </w:rPr>
      </w:pPr>
    </w:p>
    <w:sectPr w:rsidR="009E5F27" w:rsidRPr="006B5129" w:rsidSect="006F0F96">
      <w:pgSz w:w="12240" w:h="15840"/>
      <w:pgMar w:top="993"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5BF" w:rsidRDefault="007C35BF" w:rsidP="00547AAE">
      <w:pPr>
        <w:spacing w:after="0" w:line="240" w:lineRule="auto"/>
      </w:pPr>
      <w:r>
        <w:separator/>
      </w:r>
    </w:p>
  </w:endnote>
  <w:endnote w:type="continuationSeparator" w:id="0">
    <w:p w:rsidR="007C35BF" w:rsidRDefault="007C35BF" w:rsidP="0054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5BF" w:rsidRDefault="007C35BF" w:rsidP="00547AAE">
      <w:pPr>
        <w:spacing w:after="0" w:line="240" w:lineRule="auto"/>
      </w:pPr>
      <w:r>
        <w:separator/>
      </w:r>
    </w:p>
  </w:footnote>
  <w:footnote w:type="continuationSeparator" w:id="0">
    <w:p w:rsidR="007C35BF" w:rsidRDefault="007C35BF" w:rsidP="00547AAE">
      <w:pPr>
        <w:spacing w:after="0" w:line="240" w:lineRule="auto"/>
      </w:pPr>
      <w:r>
        <w:continuationSeparator/>
      </w:r>
    </w:p>
  </w:footnote>
  <w:footnote w:id="1">
    <w:p w:rsidR="00547AAE" w:rsidRDefault="00547AAE" w:rsidP="00547AAE">
      <w:pPr>
        <w:spacing w:before="94"/>
        <w:ind w:left="102" w:right="127"/>
        <w:jc w:val="both"/>
        <w:rPr>
          <w:rFonts w:ascii="Calibri" w:hAnsi="Calibri"/>
          <w:sz w:val="20"/>
        </w:rPr>
      </w:pPr>
      <w:r>
        <w:rPr>
          <w:rStyle w:val="Refdenotaalpie"/>
        </w:rPr>
        <w:footnoteRef/>
      </w:r>
      <w:r>
        <w:t xml:space="preserve"> </w:t>
      </w:r>
      <w:r>
        <w:rPr>
          <w:rFonts w:ascii="Calibri" w:hAnsi="Calibri"/>
          <w:sz w:val="20"/>
        </w:rPr>
        <w:t>Autorizase el funcionamiento dm las áreas metropolitanas cuyo núcleo principal sean los municipios de Medellín, Cali, Barranquilla, Bucaramanga, y Pereira, siempre y cuando satisfagan los requisitos establecidos en el artículo 29 del presente Decreto Igualmente autorizase la organización de otras áreas metropolitanas que reúnan los mismos requisitos.</w:t>
      </w:r>
    </w:p>
    <w:p w:rsidR="00547AAE" w:rsidRPr="00C277D8" w:rsidRDefault="00547AAE" w:rsidP="00547AAE">
      <w:pPr>
        <w:pStyle w:val="Textonotapie"/>
        <w:jc w:val="both"/>
      </w:pPr>
    </w:p>
  </w:footnote>
  <w:footnote w:id="2">
    <w:p w:rsidR="00547AAE" w:rsidRPr="00C277D8" w:rsidRDefault="00547AAE" w:rsidP="00547AAE">
      <w:pPr>
        <w:pStyle w:val="Textonotapie"/>
        <w:jc w:val="both"/>
        <w:rPr>
          <w:lang w:val="es-CO"/>
        </w:rPr>
      </w:pPr>
      <w:r>
        <w:rPr>
          <w:rStyle w:val="Refdenotaalpie"/>
        </w:rPr>
        <w:footnoteRef/>
      </w:r>
      <w:r>
        <w:t xml:space="preserve"> </w:t>
      </w:r>
      <w:r>
        <w:rPr>
          <w:rFonts w:ascii="Calibri" w:hAnsi="Calibri"/>
        </w:rPr>
        <w:t>Corresponde a la Asamblea departamental respectiva, iniciativa del gobernador y oída previamente la opinión de los Concejos de los municipios que integrarían el área, disponer el funcionamiento de las áreas metropolitanas autorizadas en el artículo anterior, El Gobernador del Departamento presentará la consideración de la Asamblea, conjuntamente con el proyecto de Ordenanza, las certificaciones a que se refiere el artículo segundo del presente Decreto</w:t>
      </w:r>
    </w:p>
  </w:footnote>
  <w:footnote w:id="3">
    <w:p w:rsidR="00547AAE" w:rsidRDefault="00547AAE" w:rsidP="00547AAE">
      <w:pPr>
        <w:spacing w:before="89"/>
        <w:ind w:left="102"/>
        <w:rPr>
          <w:rFonts w:ascii="Calibri"/>
          <w:sz w:val="20"/>
        </w:rPr>
      </w:pPr>
      <w:r>
        <w:rPr>
          <w:rStyle w:val="Refdenotaalpie"/>
        </w:rPr>
        <w:footnoteRef/>
      </w:r>
      <w:r>
        <w:t xml:space="preserve"> </w:t>
      </w:r>
      <w:r>
        <w:rPr>
          <w:rFonts w:ascii="Calibri"/>
          <w:w w:val="95"/>
          <w:sz w:val="20"/>
        </w:rPr>
        <w:t xml:space="preserve">https://colaboracion.dnp.gov.co/CDT/Desarrollo%20Territorial/BALANCE%20PRELIMINAR%20DE%20LOS%2 </w:t>
      </w:r>
      <w:r>
        <w:rPr>
          <w:rFonts w:ascii="Calibri"/>
          <w:sz w:val="20"/>
        </w:rPr>
        <w:t>0PROCESOS%20ASOCIATIVOS%20TERRITORIALES%20EN%20COLOMBIA.pdf</w:t>
      </w:r>
    </w:p>
    <w:p w:rsidR="00547AAE" w:rsidRPr="00C277D8" w:rsidRDefault="00547AAE" w:rsidP="00547AAE">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84"/>
    <w:rsid w:val="00055ACE"/>
    <w:rsid w:val="00093480"/>
    <w:rsid w:val="00201DEA"/>
    <w:rsid w:val="00205B07"/>
    <w:rsid w:val="00280E60"/>
    <w:rsid w:val="002B42B6"/>
    <w:rsid w:val="002F0F35"/>
    <w:rsid w:val="003716A0"/>
    <w:rsid w:val="00382D01"/>
    <w:rsid w:val="003A2DE3"/>
    <w:rsid w:val="004157F8"/>
    <w:rsid w:val="00512F3F"/>
    <w:rsid w:val="00547AAE"/>
    <w:rsid w:val="005A0016"/>
    <w:rsid w:val="005A5649"/>
    <w:rsid w:val="005F4195"/>
    <w:rsid w:val="00637445"/>
    <w:rsid w:val="006B5129"/>
    <w:rsid w:val="006F0F96"/>
    <w:rsid w:val="007C35BF"/>
    <w:rsid w:val="00801F07"/>
    <w:rsid w:val="00854692"/>
    <w:rsid w:val="008D55E0"/>
    <w:rsid w:val="00944708"/>
    <w:rsid w:val="00960052"/>
    <w:rsid w:val="009C3EE2"/>
    <w:rsid w:val="009E5F27"/>
    <w:rsid w:val="009F34E5"/>
    <w:rsid w:val="00A2790D"/>
    <w:rsid w:val="00A675E0"/>
    <w:rsid w:val="00A85283"/>
    <w:rsid w:val="00AA38BB"/>
    <w:rsid w:val="00B80DBB"/>
    <w:rsid w:val="00B95ED6"/>
    <w:rsid w:val="00BB44FD"/>
    <w:rsid w:val="00BD7340"/>
    <w:rsid w:val="00C30723"/>
    <w:rsid w:val="00CA2519"/>
    <w:rsid w:val="00CC1F84"/>
    <w:rsid w:val="00CC79FE"/>
    <w:rsid w:val="00CD04A1"/>
    <w:rsid w:val="00CD2F99"/>
    <w:rsid w:val="00CD3092"/>
    <w:rsid w:val="00D30CCA"/>
    <w:rsid w:val="00E35A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E433A"/>
  <w15:chartTrackingRefBased/>
  <w15:docId w15:val="{28B2E4A2-48A9-4A71-9856-9B2E6062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F84"/>
  </w:style>
  <w:style w:type="paragraph" w:styleId="Ttulo1">
    <w:name w:val="heading 1"/>
    <w:basedOn w:val="Normal"/>
    <w:link w:val="Ttulo1Car"/>
    <w:uiPriority w:val="1"/>
    <w:qFormat/>
    <w:rsid w:val="00547AAE"/>
    <w:pPr>
      <w:widowControl w:val="0"/>
      <w:autoSpaceDE w:val="0"/>
      <w:autoSpaceDN w:val="0"/>
      <w:spacing w:before="1" w:after="0" w:line="240" w:lineRule="auto"/>
      <w:ind w:left="102"/>
      <w:outlineLvl w:val="0"/>
    </w:pPr>
    <w:rPr>
      <w:rFonts w:ascii="Arial" w:eastAsia="Arial" w:hAnsi="Arial" w:cs="Arial"/>
      <w:b/>
      <w:bCs/>
      <w:sz w:val="28"/>
      <w:szCs w:val="28"/>
      <w:lang w:val="es-ES" w:eastAsia="es-ES" w:bidi="es-ES"/>
    </w:rPr>
  </w:style>
  <w:style w:type="paragraph" w:styleId="Ttulo2">
    <w:name w:val="heading 2"/>
    <w:basedOn w:val="Normal"/>
    <w:link w:val="Ttulo2Car"/>
    <w:uiPriority w:val="1"/>
    <w:qFormat/>
    <w:rsid w:val="00547AAE"/>
    <w:pPr>
      <w:widowControl w:val="0"/>
      <w:autoSpaceDE w:val="0"/>
      <w:autoSpaceDN w:val="0"/>
      <w:spacing w:before="91" w:after="0" w:line="240" w:lineRule="auto"/>
      <w:ind w:left="102"/>
      <w:outlineLvl w:val="1"/>
    </w:pPr>
    <w:rPr>
      <w:rFonts w:ascii="Arial" w:eastAsia="Arial" w:hAnsi="Arial" w:cs="Arial"/>
      <w:b/>
      <w:bCs/>
      <w:sz w:val="26"/>
      <w:szCs w:val="26"/>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CC1F84"/>
    <w:rPr>
      <w:rFonts w:ascii="Century Gothic" w:eastAsia="Times New Roman" w:hAnsi="Century Gothic" w:cs="Times New Roman"/>
      <w:lang w:val="es-ES" w:eastAsia="es-ES"/>
    </w:rPr>
  </w:style>
  <w:style w:type="paragraph" w:styleId="Sinespaciado">
    <w:name w:val="No Spacing"/>
    <w:link w:val="SinespaciadoCar"/>
    <w:uiPriority w:val="1"/>
    <w:qFormat/>
    <w:rsid w:val="00CC1F84"/>
    <w:pPr>
      <w:spacing w:after="0" w:line="240" w:lineRule="auto"/>
    </w:pPr>
    <w:rPr>
      <w:rFonts w:ascii="Century Gothic" w:eastAsia="Times New Roman" w:hAnsi="Century Gothic" w:cs="Times New Roman"/>
      <w:lang w:val="es-ES" w:eastAsia="es-ES"/>
    </w:rPr>
  </w:style>
  <w:style w:type="paragraph" w:styleId="Prrafodelista">
    <w:name w:val="List Paragraph"/>
    <w:basedOn w:val="Normal"/>
    <w:uiPriority w:val="1"/>
    <w:qFormat/>
    <w:rsid w:val="00CC1F84"/>
    <w:pPr>
      <w:widowControl w:val="0"/>
      <w:suppressAutoHyphens/>
      <w:spacing w:after="0" w:line="240" w:lineRule="auto"/>
      <w:ind w:left="720"/>
      <w:contextualSpacing/>
    </w:pPr>
    <w:rPr>
      <w:rFonts w:ascii="Times New Roman" w:eastAsia="Lucida Sans Unicode" w:hAnsi="Times New Roman" w:cs="Times New Roman"/>
      <w:kern w:val="1"/>
      <w:sz w:val="24"/>
      <w:szCs w:val="24"/>
      <w:lang w:val="es-ES" w:eastAsia="es-CO"/>
    </w:rPr>
  </w:style>
  <w:style w:type="character" w:styleId="Hipervnculo">
    <w:name w:val="Hyperlink"/>
    <w:basedOn w:val="Fuentedeprrafopredeter"/>
    <w:uiPriority w:val="99"/>
    <w:unhideWhenUsed/>
    <w:rsid w:val="005A5649"/>
    <w:rPr>
      <w:color w:val="0563C1" w:themeColor="hyperlink"/>
      <w:u w:val="single"/>
    </w:rPr>
  </w:style>
  <w:style w:type="character" w:customStyle="1" w:styleId="UnresolvedMention">
    <w:name w:val="Unresolved Mention"/>
    <w:basedOn w:val="Fuentedeprrafopredeter"/>
    <w:uiPriority w:val="99"/>
    <w:semiHidden/>
    <w:unhideWhenUsed/>
    <w:rsid w:val="005A5649"/>
    <w:rPr>
      <w:color w:val="605E5C"/>
      <w:shd w:val="clear" w:color="auto" w:fill="E1DFDD"/>
    </w:rPr>
  </w:style>
  <w:style w:type="character" w:customStyle="1" w:styleId="Ttulo1Car">
    <w:name w:val="Título 1 Car"/>
    <w:basedOn w:val="Fuentedeprrafopredeter"/>
    <w:link w:val="Ttulo1"/>
    <w:uiPriority w:val="1"/>
    <w:rsid w:val="00547AAE"/>
    <w:rPr>
      <w:rFonts w:ascii="Arial" w:eastAsia="Arial" w:hAnsi="Arial" w:cs="Arial"/>
      <w:b/>
      <w:bCs/>
      <w:sz w:val="28"/>
      <w:szCs w:val="28"/>
      <w:lang w:val="es-ES" w:eastAsia="es-ES" w:bidi="es-ES"/>
    </w:rPr>
  </w:style>
  <w:style w:type="character" w:customStyle="1" w:styleId="Ttulo2Car">
    <w:name w:val="Título 2 Car"/>
    <w:basedOn w:val="Fuentedeprrafopredeter"/>
    <w:link w:val="Ttulo2"/>
    <w:uiPriority w:val="1"/>
    <w:rsid w:val="00547AAE"/>
    <w:rPr>
      <w:rFonts w:ascii="Arial" w:eastAsia="Arial" w:hAnsi="Arial" w:cs="Arial"/>
      <w:b/>
      <w:bCs/>
      <w:sz w:val="26"/>
      <w:szCs w:val="26"/>
      <w:lang w:val="es-ES" w:eastAsia="es-ES" w:bidi="es-ES"/>
    </w:rPr>
  </w:style>
  <w:style w:type="paragraph" w:styleId="Textoindependiente">
    <w:name w:val="Body Text"/>
    <w:basedOn w:val="Normal"/>
    <w:link w:val="TextoindependienteCar"/>
    <w:uiPriority w:val="1"/>
    <w:qFormat/>
    <w:rsid w:val="00547AAE"/>
    <w:pPr>
      <w:widowControl w:val="0"/>
      <w:autoSpaceDE w:val="0"/>
      <w:autoSpaceDN w:val="0"/>
      <w:spacing w:after="0" w:line="240" w:lineRule="auto"/>
    </w:pPr>
    <w:rPr>
      <w:rFonts w:ascii="Arial" w:eastAsia="Arial" w:hAnsi="Arial" w:cs="Arial"/>
      <w:sz w:val="26"/>
      <w:szCs w:val="26"/>
      <w:lang w:val="es-ES" w:eastAsia="es-ES" w:bidi="es-ES"/>
    </w:rPr>
  </w:style>
  <w:style w:type="character" w:customStyle="1" w:styleId="TextoindependienteCar">
    <w:name w:val="Texto independiente Car"/>
    <w:basedOn w:val="Fuentedeprrafopredeter"/>
    <w:link w:val="Textoindependiente"/>
    <w:uiPriority w:val="1"/>
    <w:rsid w:val="00547AAE"/>
    <w:rPr>
      <w:rFonts w:ascii="Arial" w:eastAsia="Arial" w:hAnsi="Arial" w:cs="Arial"/>
      <w:sz w:val="26"/>
      <w:szCs w:val="26"/>
      <w:lang w:val="es-ES" w:eastAsia="es-ES" w:bidi="es-ES"/>
    </w:rPr>
  </w:style>
  <w:style w:type="paragraph" w:styleId="Textonotapie">
    <w:name w:val="footnote text"/>
    <w:basedOn w:val="Normal"/>
    <w:link w:val="TextonotapieCar"/>
    <w:uiPriority w:val="99"/>
    <w:semiHidden/>
    <w:unhideWhenUsed/>
    <w:rsid w:val="00547AAE"/>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notapieCar">
    <w:name w:val="Texto nota pie Car"/>
    <w:basedOn w:val="Fuentedeprrafopredeter"/>
    <w:link w:val="Textonotapie"/>
    <w:uiPriority w:val="99"/>
    <w:semiHidden/>
    <w:rsid w:val="00547AAE"/>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547AAE"/>
    <w:rPr>
      <w:vertAlign w:val="superscript"/>
    </w:rPr>
  </w:style>
  <w:style w:type="paragraph" w:styleId="Textodeglobo">
    <w:name w:val="Balloon Text"/>
    <w:basedOn w:val="Normal"/>
    <w:link w:val="TextodegloboCar"/>
    <w:uiPriority w:val="99"/>
    <w:semiHidden/>
    <w:unhideWhenUsed/>
    <w:rsid w:val="009E5F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5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1787</Words>
  <Characters>9832</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Liceth Johana Valencia Martinez</dc:creator>
  <cp:keywords/>
  <dc:description/>
  <cp:lastModifiedBy>Olga Granda</cp:lastModifiedBy>
  <cp:revision>3</cp:revision>
  <cp:lastPrinted>2018-08-02T20:36:00Z</cp:lastPrinted>
  <dcterms:created xsi:type="dcterms:W3CDTF">2018-08-01T15:43:00Z</dcterms:created>
  <dcterms:modified xsi:type="dcterms:W3CDTF">2018-08-02T20:38:00Z</dcterms:modified>
</cp:coreProperties>
</file>